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2142" o:spid="_x0000_s2142" o:spt="136" type="#_x0000_t136" style="position:absolute;left:0pt;margin-left:17.7pt;margin-top:11.75pt;height:39.4pt;width:396pt;mso-wrap-distance-left:9pt;mso-wrap-distance-right:9pt;z-index:-251657216;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保</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4</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r>
        <w:rPr>
          <w:rFonts w:hint="eastAsia" w:ascii="华文中宋" w:hAnsi="华文中宋" w:eastAsia="华文中宋"/>
          <w:b/>
          <w:bCs/>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24130</wp:posOffset>
                </wp:positionV>
                <wp:extent cx="5312410" cy="10795"/>
                <wp:effectExtent l="0" t="4445" r="2540" b="13335"/>
                <wp:wrapNone/>
                <wp:docPr id="51" name="直线 3"/>
                <wp:cNvGraphicFramePr/>
                <a:graphic xmlns:a="http://schemas.openxmlformats.org/drawingml/2006/main">
                  <a:graphicData uri="http://schemas.microsoft.com/office/word/2010/wordprocessingShape">
                    <wps:wsp>
                      <wps:cNvCnPr/>
                      <wps:spPr>
                        <a:xfrm flipV="true">
                          <a:off x="0" y="0"/>
                          <a:ext cx="5312410" cy="10795"/>
                        </a:xfrm>
                        <a:prstGeom prst="line">
                          <a:avLst/>
                        </a:prstGeom>
                        <a:ln w="9525" cap="flat" cmpd="sng">
                          <a:solidFill>
                            <a:srgbClr val="FF0000"/>
                          </a:solidFill>
                          <a:prstDash val="solid"/>
                          <a:headEnd type="none" w="med" len="med"/>
                          <a:tailEnd type="none" w="med" len="med"/>
                        </a:ln>
                        <a:effectLst/>
                      </wps:spPr>
                      <wps:bodyPr upright="true"/>
                    </wps:wsp>
                  </a:graphicData>
                </a:graphic>
              </wp:anchor>
            </w:drawing>
          </mc:Choice>
          <mc:Fallback>
            <w:pict>
              <v:line id="直线 3" o:spid="_x0000_s1026" o:spt="20" style="position:absolute;left:0pt;flip:y;margin-left:5.15pt;margin-top:1.9pt;height:0.85pt;width:418.3pt;z-index:251660288;mso-width-relative:page;mso-height-relative:page;" filled="f" stroked="t" coordsize="21600,21600" o:gfxdata="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0xq3nNYAAAAGAQAADwAAAAAAAAABACAAAAA4AAAAZHJzL2Rvd25yZXYueG1sUEsB&#10;AhQAFAAAAAgAh07iQPlNyEHhAQAAsAMAAA4AAAAAAAAAAQAgAAAAOwEAAGRycy9lMm9Eb2MueG1s&#10;UEsFBgAAAAAGAAYAWQEAAI4FA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overflowPunct/>
        <w:topLinePunct w:val="0"/>
        <w:autoSpaceDE/>
        <w:autoSpaceDN/>
        <w:bidi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上海市知识产权局关于印发《2023年上海市知识产权行政保护工作实施方案》的通知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Calibri" w:hAnsi="Calibri"/>
          <w:sz w:val="36"/>
        </w:rPr>
      </w:pPr>
    </w:p>
    <w:p>
      <w:pPr>
        <w:pStyle w:val="13"/>
        <w:keepNext w:val="0"/>
        <w:keepLines w:val="0"/>
        <w:pageBreakBefore w:val="0"/>
        <w:widowControl w:val="0"/>
        <w:kinsoku/>
        <w:overflowPunct/>
        <w:topLinePunct w:val="0"/>
        <w:autoSpaceDE/>
        <w:autoSpaceDN/>
        <w:bidi w:val="0"/>
        <w:adjustRightInd/>
        <w:snapToGrid w:val="0"/>
        <w:spacing w:line="600" w:lineRule="exact"/>
        <w:ind w:left="0" w:leftChars="0" w:firstLine="0" w:firstLineChars="0"/>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各区知识产权局，临港新片区市场监管局，局机关各处室，市知识产权服务中心、市知识产权保护中心：</w:t>
      </w:r>
    </w:p>
    <w:p>
      <w:pPr>
        <w:pStyle w:val="13"/>
        <w:keepNext w:val="0"/>
        <w:keepLines w:val="0"/>
        <w:pageBreakBefore w:val="0"/>
        <w:widowControl w:val="0"/>
        <w:kinsoku/>
        <w:overflowPunct/>
        <w:topLinePunct w:val="0"/>
        <w:autoSpaceDE/>
        <w:autoSpaceDN/>
        <w:bidi w:val="0"/>
        <w:adjustRightInd/>
        <w:snapToGrid w:val="0"/>
        <w:spacing w:line="600" w:lineRule="exact"/>
        <w:ind w:left="17" w:leftChars="8" w:firstLine="617" w:firstLineChars="193"/>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为深入贯彻党中央、国务院关于全面加强知识产权保护的决策部署，认真落实《国家知识产权局关于印发2023年全国知识产权行政保护工作方案的通知》精神，高标准推进知识产权强市建设，全面提升知识产权保护效果，构建便捷高效、严格公正、公开透明的行政保护体系，加快建设国际知识产权保护高地和国际知识产权中心城市，现制定《2023年上海市知识产权行政保护工作实施方案》（以下简称《实施方案》）并印发给你们，请认真贯彻落实。</w:t>
      </w:r>
    </w:p>
    <w:p>
      <w:pPr>
        <w:pStyle w:val="13"/>
        <w:keepNext w:val="0"/>
        <w:keepLines w:val="0"/>
        <w:pageBreakBefore w:val="0"/>
        <w:widowControl w:val="0"/>
        <w:kinsoku/>
        <w:overflowPunct/>
        <w:topLinePunct w:val="0"/>
        <w:autoSpaceDE/>
        <w:autoSpaceDN/>
        <w:bidi w:val="0"/>
        <w:adjustRightInd/>
        <w:snapToGrid w:val="0"/>
        <w:spacing w:line="600" w:lineRule="exact"/>
        <w:ind w:left="17" w:leftChars="8" w:firstLine="617" w:firstLineChars="193"/>
        <w:textAlignment w:val="auto"/>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同时，请于2023年4月7日前报送贯彻落实《实施方案》的具体工作计划，于2023年6月15日和11月15日前分别报送半年度和年度工作总结，电子件（含word版及pdf盖章版）同时发至联系邮箱。</w:t>
      </w:r>
    </w:p>
    <w:p>
      <w:pPr>
        <w:pStyle w:val="13"/>
        <w:keepNext w:val="0"/>
        <w:keepLines w:val="0"/>
        <w:pageBreakBefore w:val="0"/>
        <w:widowControl w:val="0"/>
        <w:kinsoku/>
        <w:overflowPunct/>
        <w:topLinePunct w:val="0"/>
        <w:autoSpaceDE/>
        <w:autoSpaceDN/>
        <w:bidi w:val="0"/>
        <w:adjustRightInd/>
        <w:snapToGrid w:val="0"/>
        <w:spacing w:line="600" w:lineRule="exact"/>
        <w:ind w:left="17" w:leftChars="8" w:firstLine="617" w:firstLineChars="193"/>
        <w:textAlignment w:val="auto"/>
        <w:rPr>
          <w:rFonts w:hint="eastAsia" w:ascii="仿宋_GB2312" w:hAnsi="仿宋_GB2312" w:eastAsia="仿宋_GB2312" w:cs="仿宋_GB2312"/>
          <w:sz w:val="32"/>
          <w:szCs w:val="32"/>
        </w:rPr>
      </w:pPr>
      <w:r>
        <w:rPr>
          <w:rFonts w:hint="eastAsia" w:ascii="仿宋_GB2312" w:hAnsi="Times New Roman" w:eastAsia="仿宋_GB2312"/>
          <w:sz w:val="32"/>
          <w:szCs w:val="32"/>
          <w:lang w:val="en-US" w:eastAsia="zh-CN"/>
        </w:rPr>
        <w:t>特此通知。</w:t>
      </w: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上海市知识产权局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 xml:space="preserve">日  </w:t>
      </w: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eastAsia="仿宋_GB2312"/>
          <w:sz w:val="32"/>
          <w:szCs w:val="32"/>
          <w:lang w:val="en-US" w:eastAsia="zh-CN"/>
        </w:rPr>
      </w:pPr>
    </w:p>
    <w:p>
      <w:pPr>
        <w:pStyle w:val="13"/>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pStyle w:val="13"/>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bookmarkStart w:id="0" w:name="_GoBack"/>
      <w:bookmarkEnd w:id="0"/>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keepNext w:val="0"/>
        <w:keepLines w:val="0"/>
        <w:pageBreakBefore w:val="0"/>
        <w:widowControl w:val="0"/>
        <w:suppressAutoHyphens/>
        <w:kinsoku/>
        <w:wordWrap/>
        <w:topLinePunct w:val="0"/>
        <w:autoSpaceDE/>
        <w:autoSpaceDN/>
        <w:bidi w:val="0"/>
        <w:snapToGrid w:val="0"/>
        <w:spacing w:line="600" w:lineRule="exact"/>
        <w:jc w:val="distribute"/>
        <w:textAlignment w:val="auto"/>
        <w:rPr>
          <w:rFonts w:hint="eastAsia" w:ascii="方正小标宋简体" w:hAnsi="方正小标宋简体" w:eastAsia="方正小标宋简体" w:cs="方正小标宋简体"/>
          <w:snapToGrid w:val="0"/>
          <w:color w:val="000000"/>
          <w:spacing w:val="-11"/>
          <w:kern w:val="0"/>
          <w:sz w:val="44"/>
          <w:szCs w:val="44"/>
          <w:highlight w:val="none"/>
        </w:rPr>
      </w:pPr>
      <w:r>
        <w:rPr>
          <w:rFonts w:hint="eastAsia" w:ascii="方正小标宋简体" w:hAnsi="方正小标宋简体" w:eastAsia="方正小标宋简体" w:cs="方正小标宋简体"/>
          <w:snapToGrid w:val="0"/>
          <w:color w:val="000000"/>
          <w:spacing w:val="-11"/>
          <w:kern w:val="0"/>
          <w:sz w:val="44"/>
          <w:szCs w:val="44"/>
          <w:highlight w:val="none"/>
        </w:rPr>
        <w:t>2023年上海</w:t>
      </w:r>
      <w:r>
        <w:rPr>
          <w:rFonts w:hint="eastAsia" w:ascii="方正小标宋简体" w:hAnsi="方正小标宋简体" w:eastAsia="方正小标宋简体" w:cs="方正小标宋简体"/>
          <w:snapToGrid w:val="0"/>
          <w:color w:val="000000"/>
          <w:spacing w:val="-11"/>
          <w:kern w:val="0"/>
          <w:sz w:val="44"/>
          <w:szCs w:val="44"/>
          <w:highlight w:val="none"/>
          <w:lang w:eastAsia="zh-CN"/>
        </w:rPr>
        <w:t>市</w:t>
      </w:r>
      <w:r>
        <w:rPr>
          <w:rFonts w:hint="eastAsia" w:ascii="方正小标宋简体" w:hAnsi="方正小标宋简体" w:eastAsia="方正小标宋简体" w:cs="方正小标宋简体"/>
          <w:snapToGrid w:val="0"/>
          <w:color w:val="000000"/>
          <w:spacing w:val="-11"/>
          <w:kern w:val="0"/>
          <w:sz w:val="44"/>
          <w:szCs w:val="44"/>
          <w:highlight w:val="none"/>
        </w:rPr>
        <w:t>知识产权行政保护工作实施方案</w:t>
      </w:r>
    </w:p>
    <w:p>
      <w:pPr>
        <w:keepNext w:val="0"/>
        <w:keepLines w:val="0"/>
        <w:pageBreakBefore w:val="0"/>
        <w:widowControl w:val="0"/>
        <w:suppressAutoHyphens/>
        <w:kinsoku/>
        <w:wordWrap/>
        <w:topLinePunct w:val="0"/>
        <w:autoSpaceDE/>
        <w:autoSpaceDN/>
        <w:bidi w:val="0"/>
        <w:snapToGrid w:val="0"/>
        <w:spacing w:line="600" w:lineRule="exact"/>
        <w:ind w:firstLine="411" w:firstLineChars="196"/>
        <w:textAlignment w:val="auto"/>
        <w:rPr>
          <w:rFonts w:ascii="仿宋_GB2312" w:hAnsi="Times New Roman" w:eastAsia="仿宋_GB2312"/>
          <w:color w:val="000000"/>
          <w:highlight w:val="none"/>
        </w:rPr>
      </w:pPr>
    </w:p>
    <w:p>
      <w:pPr>
        <w:keepNext w:val="0"/>
        <w:keepLines w:val="0"/>
        <w:pageBreakBefore w:val="0"/>
        <w:widowControl w:val="0"/>
        <w:suppressAutoHyphens/>
        <w:kinsoku/>
        <w:wordWrap/>
        <w:topLinePunct w:val="0"/>
        <w:autoSpaceDE/>
        <w:autoSpaceDN/>
        <w:bidi w:val="0"/>
        <w:snapToGrid w:val="0"/>
        <w:spacing w:line="600" w:lineRule="exact"/>
        <w:ind w:firstLine="627" w:firstLineChars="196"/>
        <w:textAlignment w:val="auto"/>
        <w:rPr>
          <w:rFonts w:hint="eastAsia" w:ascii="仿宋_GB2312" w:hAnsi="Times New Roman" w:eastAsia="仿宋_GB2312"/>
          <w:snapToGrid w:val="0"/>
          <w:color w:val="000000"/>
          <w:kern w:val="0"/>
          <w:sz w:val="32"/>
          <w:szCs w:val="32"/>
          <w:highlight w:val="none"/>
        </w:rPr>
      </w:pPr>
      <w:r>
        <w:rPr>
          <w:rFonts w:hint="eastAsia" w:ascii="仿宋_GB2312" w:hAnsi="Times New Roman" w:eastAsia="仿宋_GB2312"/>
          <w:snapToGrid w:val="0"/>
          <w:color w:val="000000"/>
          <w:kern w:val="0"/>
          <w:sz w:val="32"/>
          <w:szCs w:val="32"/>
          <w:highlight w:val="none"/>
        </w:rPr>
        <w:t>为认真贯彻党中央、国务院关于全面加强知识产权保护的决策部署，落实2023年全国知识产权局局长会议和知识产权保护工作会议有关要求，</w:t>
      </w:r>
      <w:r>
        <w:rPr>
          <w:rFonts w:hint="eastAsia" w:ascii="仿宋_GB2312" w:hAnsi="Times New Roman" w:eastAsia="仿宋_GB2312"/>
          <w:snapToGrid w:val="0"/>
          <w:color w:val="000000"/>
          <w:kern w:val="0"/>
          <w:sz w:val="32"/>
          <w:szCs w:val="32"/>
          <w:highlight w:val="none"/>
          <w:lang w:eastAsia="zh-Hans"/>
        </w:rPr>
        <w:t>根据</w:t>
      </w:r>
      <w:r>
        <w:rPr>
          <w:rFonts w:hint="eastAsia" w:ascii="仿宋_GB2312" w:hAnsi="Times New Roman" w:eastAsia="仿宋_GB2312"/>
          <w:snapToGrid w:val="0"/>
          <w:color w:val="000000"/>
          <w:kern w:val="0"/>
          <w:sz w:val="32"/>
          <w:szCs w:val="32"/>
          <w:highlight w:val="none"/>
        </w:rPr>
        <w:t>国家知识产权局《2023年全国知识产权行政保护工作方案》具体</w:t>
      </w:r>
      <w:r>
        <w:rPr>
          <w:rFonts w:hint="eastAsia" w:ascii="仿宋_GB2312" w:hAnsi="Times New Roman" w:eastAsia="仿宋_GB2312"/>
          <w:snapToGrid w:val="0"/>
          <w:color w:val="000000"/>
          <w:kern w:val="0"/>
          <w:sz w:val="32"/>
          <w:szCs w:val="32"/>
          <w:highlight w:val="none"/>
          <w:lang w:eastAsia="zh-Hans"/>
        </w:rPr>
        <w:t>部署</w:t>
      </w:r>
      <w:r>
        <w:rPr>
          <w:rFonts w:hint="eastAsia" w:ascii="仿宋_GB2312" w:hAnsi="Times New Roman" w:eastAsia="仿宋_GB2312"/>
          <w:snapToGrid w:val="0"/>
          <w:color w:val="000000"/>
          <w:kern w:val="0"/>
          <w:sz w:val="32"/>
          <w:szCs w:val="32"/>
          <w:highlight w:val="none"/>
        </w:rPr>
        <w:t>要求，制定本工作方案。</w:t>
      </w:r>
    </w:p>
    <w:p>
      <w:pPr>
        <w:keepNext w:val="0"/>
        <w:keepLines w:val="0"/>
        <w:pageBreakBefore w:val="0"/>
        <w:widowControl w:val="0"/>
        <w:suppressAutoHyphens/>
        <w:kinsoku/>
        <w:wordWrap/>
        <w:topLinePunct w:val="0"/>
        <w:autoSpaceDE/>
        <w:autoSpaceDN/>
        <w:bidi w:val="0"/>
        <w:snapToGrid w:val="0"/>
        <w:spacing w:line="600" w:lineRule="exact"/>
        <w:ind w:firstLine="627" w:firstLineChars="196"/>
        <w:textAlignment w:val="auto"/>
        <w:rPr>
          <w:rFonts w:hint="eastAsia" w:ascii="黑体" w:hAnsi="黑体" w:eastAsia="黑体" w:cs="黑体"/>
          <w:snapToGrid w:val="0"/>
          <w:color w:val="000000"/>
          <w:kern w:val="0"/>
          <w:sz w:val="32"/>
          <w:szCs w:val="32"/>
          <w:highlight w:val="none"/>
          <w:lang w:eastAsia="zh-Hans"/>
        </w:rPr>
      </w:pPr>
      <w:r>
        <w:rPr>
          <w:rFonts w:hint="eastAsia" w:ascii="黑体" w:hAnsi="黑体" w:eastAsia="黑体" w:cs="黑体"/>
          <w:snapToGrid w:val="0"/>
          <w:color w:val="000000"/>
          <w:kern w:val="0"/>
          <w:sz w:val="32"/>
          <w:szCs w:val="32"/>
          <w:highlight w:val="none"/>
          <w:lang w:eastAsia="zh-Hans"/>
        </w:rPr>
        <w:t>一、总体要求</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坚持以习近平新时代中国特色社会主义思想为指导，深入学习贯彻习近平总书记考察上海重要讲话、在浦东开发开放30周年庆祝大会上重要讲话和在中央政治局第二十五次集体学习时的重要讲话精神，全面贯彻党的二十大精神和中央经济工作会议精神，按照</w:t>
      </w:r>
      <w:r>
        <w:rPr>
          <w:rFonts w:hint="eastAsia" w:ascii="仿宋_GB2312" w:hAnsi="仿宋_GB2312" w:eastAsia="仿宋_GB2312" w:cs="仿宋_GB2312"/>
          <w:color w:val="000000"/>
          <w:kern w:val="0"/>
          <w:sz w:val="32"/>
          <w:szCs w:val="32"/>
          <w:highlight w:val="none"/>
          <w:lang w:val="en-US" w:eastAsia="zh-CN" w:bidi="ar-SA"/>
        </w:rPr>
        <w:t>《上海市知识产权强市建设纲要（2021—2035年）》《上海市知识产权保护和运用“十四五”规划》</w:t>
      </w:r>
      <w:r>
        <w:rPr>
          <w:rFonts w:hint="eastAsia" w:ascii="仿宋_GB2312" w:hAnsi="仿宋_GB2312" w:eastAsia="仿宋_GB2312" w:cs="仿宋_GB2312"/>
          <w:snapToGrid w:val="0"/>
          <w:color w:val="000000"/>
          <w:kern w:val="0"/>
          <w:sz w:val="32"/>
          <w:szCs w:val="32"/>
          <w:highlight w:val="none"/>
          <w:lang w:val="en-US" w:eastAsia="zh-CN" w:bidi="ar-SA"/>
        </w:rPr>
        <w:t>《关于强化知识产权保护的实施方案》部署，聚焦上海深化“五个中心”建设、强化“四大功能”等重大战略任务，强化法治保障、严格产权保护，坚持改革驱动、质量引领，高质量推进知识产权行政保护工作，以全链条知识产权保护为</w:t>
      </w:r>
      <w:r>
        <w:rPr>
          <w:rFonts w:ascii="仿宋_GB2312" w:hAnsi="仿宋_GB2312" w:eastAsia="仿宋_GB2312" w:cs="仿宋_GB2312"/>
          <w:snapToGrid w:val="0"/>
          <w:color w:val="000000"/>
          <w:kern w:val="0"/>
          <w:sz w:val="32"/>
          <w:szCs w:val="32"/>
          <w:highlight w:val="none"/>
          <w:lang w:val="en-US" w:eastAsia="zh-CN" w:bidi="ar-SA"/>
        </w:rPr>
        <w:t>加快建设具有世界影响力的社会主义现代化国际大都市</w:t>
      </w:r>
      <w:r>
        <w:rPr>
          <w:rFonts w:hint="eastAsia" w:ascii="仿宋_GB2312" w:hAnsi="仿宋_GB2312" w:eastAsia="仿宋_GB2312" w:cs="仿宋_GB2312"/>
          <w:snapToGrid w:val="0"/>
          <w:color w:val="000000"/>
          <w:kern w:val="0"/>
          <w:sz w:val="32"/>
          <w:szCs w:val="32"/>
          <w:highlight w:val="none"/>
          <w:lang w:val="en-US" w:eastAsia="zh-CN" w:bidi="ar-SA"/>
        </w:rPr>
        <w:t>提供有力的支撑，向基本建成国际知识产权保护高地和国际知识产权中心城市加快迈进。</w:t>
      </w:r>
    </w:p>
    <w:p>
      <w:pPr>
        <w:keepNext w:val="0"/>
        <w:keepLines w:val="0"/>
        <w:pageBreakBefore w:val="0"/>
        <w:widowControl w:val="0"/>
        <w:numPr>
          <w:ilvl w:val="0"/>
          <w:numId w:val="2"/>
        </w:numPr>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黑体" w:hAnsi="黑体" w:eastAsia="黑体" w:cs="黑体"/>
          <w:snapToGrid w:val="0"/>
          <w:color w:val="000000"/>
          <w:kern w:val="0"/>
          <w:sz w:val="32"/>
          <w:szCs w:val="32"/>
          <w:highlight w:val="none"/>
          <w:lang w:val="en-US" w:eastAsia="zh-Hans" w:bidi="ar-SA"/>
        </w:rPr>
      </w:pPr>
      <w:r>
        <w:rPr>
          <w:rFonts w:hint="eastAsia" w:ascii="黑体" w:hAnsi="黑体" w:eastAsia="黑体" w:cs="黑体"/>
          <w:snapToGrid w:val="0"/>
          <w:color w:val="000000"/>
          <w:kern w:val="0"/>
          <w:sz w:val="32"/>
          <w:szCs w:val="32"/>
          <w:highlight w:val="none"/>
          <w:lang w:val="en-US" w:eastAsia="zh-Hans" w:bidi="ar-SA"/>
        </w:rPr>
        <w:t>主要任务</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楷体_GB2312" w:hAnsi="楷体_GB2312" w:eastAsia="楷体_GB2312" w:cs="楷体_GB2312"/>
          <w:snapToGrid w:val="0"/>
          <w:color w:val="000000"/>
          <w:kern w:val="0"/>
          <w:sz w:val="32"/>
          <w:szCs w:val="32"/>
          <w:highlight w:val="none"/>
          <w:lang w:val="en-US" w:eastAsia="zh-CN" w:bidi="ar-SA"/>
        </w:rPr>
      </w:pPr>
      <w:r>
        <w:rPr>
          <w:rFonts w:hint="eastAsia" w:ascii="楷体_GB2312" w:hAnsi="楷体_GB2312" w:eastAsia="楷体_GB2312" w:cs="楷体_GB2312"/>
          <w:snapToGrid w:val="0"/>
          <w:color w:val="000000"/>
          <w:kern w:val="0"/>
          <w:sz w:val="32"/>
          <w:szCs w:val="32"/>
          <w:highlight w:val="none"/>
          <w:lang w:val="en-US" w:eastAsia="zh-CN" w:bidi="ar-SA"/>
        </w:rPr>
        <w:t>（一）加强知识产权行政保护制度保障</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1.</w:t>
      </w:r>
      <w:r>
        <w:rPr>
          <w:rFonts w:hint="eastAsia" w:ascii="仿宋_GB2312" w:hAnsi="仿宋_GB2312" w:eastAsia="仿宋_GB2312" w:cs="仿宋_GB2312"/>
          <w:color w:val="000000"/>
          <w:kern w:val="0"/>
          <w:sz w:val="32"/>
          <w:szCs w:val="32"/>
          <w:highlight w:val="none"/>
          <w:lang w:val="en-US" w:eastAsia="zh-CN" w:bidi="ar-SA"/>
        </w:rPr>
        <w:t>全面部署落实知识产权保护任务</w:t>
      </w:r>
      <w:r>
        <w:rPr>
          <w:rFonts w:hint="eastAsia" w:ascii="仿宋_GB2312" w:hAnsi="仿宋_GB2312" w:eastAsia="仿宋_GB2312" w:cs="仿宋_GB2312"/>
          <w:snapToGrid w:val="0"/>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shd w:val="clear" w:color="auto" w:fill="FFFFFF"/>
          <w:lang w:val="en-US" w:eastAsia="zh-CN" w:bidi="ar-SA"/>
        </w:rPr>
        <w:t>根据</w:t>
      </w:r>
      <w:r>
        <w:rPr>
          <w:rFonts w:hint="eastAsia" w:ascii="仿宋_GB2312" w:hAnsi="仿宋_GB2312" w:eastAsia="仿宋_GB2312" w:cs="仿宋_GB2312"/>
          <w:color w:val="000000"/>
          <w:kern w:val="0"/>
          <w:sz w:val="32"/>
          <w:szCs w:val="32"/>
          <w:highlight w:val="none"/>
          <w:lang w:val="en-US" w:eastAsia="zh-CN" w:bidi="ar-SA"/>
        </w:rPr>
        <w:t>国家知识产权局《深入实施〈关于强化知识产权保护的意见〉推进计划》要求，</w:t>
      </w:r>
      <w:r>
        <w:rPr>
          <w:rFonts w:hint="eastAsia" w:ascii="仿宋_GB2312" w:hAnsi="仿宋_GB2312" w:eastAsia="仿宋_GB2312" w:cs="仿宋_GB2312"/>
          <w:color w:val="000000"/>
          <w:kern w:val="0"/>
          <w:sz w:val="32"/>
          <w:szCs w:val="32"/>
          <w:highlight w:val="none"/>
          <w:shd w:val="clear" w:color="auto" w:fill="FFFFFF"/>
          <w:lang w:val="en-US" w:eastAsia="zh-CN" w:bidi="ar-SA"/>
        </w:rPr>
        <w:t>制定本市</w:t>
      </w:r>
      <w:r>
        <w:rPr>
          <w:rFonts w:hint="eastAsia" w:ascii="仿宋_GB2312" w:hAnsi="仿宋_GB2312" w:eastAsia="仿宋_GB2312" w:cs="仿宋_GB2312"/>
          <w:color w:val="000000"/>
          <w:kern w:val="0"/>
          <w:sz w:val="32"/>
          <w:szCs w:val="32"/>
          <w:highlight w:val="none"/>
          <w:lang w:val="en-US" w:eastAsia="zh-CN" w:bidi="ar-SA"/>
        </w:rPr>
        <w:t>强化知识产权保护推进计划</w:t>
      </w:r>
      <w:r>
        <w:rPr>
          <w:rFonts w:hint="eastAsia" w:ascii="仿宋_GB2312" w:hAnsi="仿宋_GB2312" w:eastAsia="仿宋_GB2312" w:cs="仿宋_GB2312"/>
          <w:bCs/>
          <w:color w:val="000000"/>
          <w:kern w:val="0"/>
          <w:sz w:val="32"/>
          <w:szCs w:val="32"/>
          <w:highlight w:val="none"/>
          <w:lang w:val="en-US" w:eastAsia="zh-CN" w:bidi="ar-SA"/>
        </w:rPr>
        <w:t>。</w:t>
      </w:r>
      <w:r>
        <w:rPr>
          <w:rFonts w:hint="eastAsia" w:ascii="仿宋_GB2312" w:hAnsi="仿宋_GB2312" w:eastAsia="仿宋_GB2312" w:cs="仿宋_GB2312"/>
          <w:snapToGrid w:val="0"/>
          <w:color w:val="000000"/>
          <w:kern w:val="0"/>
          <w:sz w:val="32"/>
          <w:szCs w:val="32"/>
          <w:highlight w:val="none"/>
          <w:lang w:val="en-US" w:eastAsia="zh-CN" w:bidi="ar-SA"/>
        </w:rPr>
        <w:t>召开上海市知识产权保护大会，部署知识产权保护重点任务。</w:t>
      </w:r>
      <w:r>
        <w:rPr>
          <w:rFonts w:hint="eastAsia" w:ascii="仿宋_GB2312" w:hAnsi="仿宋_GB2312" w:eastAsia="仿宋_GB2312" w:cs="仿宋_GB2312"/>
          <w:bCs/>
          <w:color w:val="000000"/>
          <w:kern w:val="0"/>
          <w:sz w:val="32"/>
          <w:szCs w:val="32"/>
          <w:highlight w:val="none"/>
          <w:lang w:val="en-US" w:eastAsia="zh-CN" w:bidi="ar-SA"/>
        </w:rPr>
        <w:t>不断</w:t>
      </w:r>
      <w:r>
        <w:rPr>
          <w:rFonts w:hint="eastAsia" w:ascii="仿宋_GB2312" w:hAnsi="仿宋_GB2312" w:eastAsia="仿宋_GB2312" w:cs="仿宋_GB2312"/>
          <w:snapToGrid w:val="0"/>
          <w:color w:val="000000"/>
          <w:kern w:val="0"/>
          <w:sz w:val="32"/>
          <w:szCs w:val="32"/>
          <w:highlight w:val="none"/>
          <w:lang w:val="en-US" w:eastAsia="zh-CN" w:bidi="ar-SA"/>
        </w:rPr>
        <w:t>优化年度市管党政领导班子知识产权保护水平绩效考核工作，切实发挥检查考核“指挥棒”作用，抓好检查考核发现的短板弱项整改工作。</w:t>
      </w:r>
      <w:r>
        <w:rPr>
          <w:rFonts w:hint="eastAsia" w:ascii="仿宋_GB2312" w:hAnsi="仿宋_GB2312" w:eastAsia="仿宋_GB2312" w:cs="仿宋_GB2312"/>
          <w:color w:val="000000"/>
          <w:kern w:val="0"/>
          <w:sz w:val="32"/>
          <w:szCs w:val="32"/>
          <w:highlight w:val="none"/>
          <w:lang w:val="en-US" w:eastAsia="zh-CN" w:bidi="ar-SA"/>
        </w:rPr>
        <w:t>进一步在优化营商环境评价、市委督查检查考核工作中强化知识产权保护工作指标的考评</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snapToGrid w:val="0"/>
          <w:color w:val="000000"/>
          <w:kern w:val="0"/>
          <w:sz w:val="32"/>
          <w:szCs w:val="32"/>
          <w:highlight w:val="none"/>
          <w:lang w:val="en-US" w:eastAsia="zh-CN" w:bidi="ar-SA"/>
        </w:rPr>
        <w:t>持续开展知识产权保护社会满意度年度调查，继续探索知识产权保护水平评估工作，</w:t>
      </w:r>
      <w:r>
        <w:rPr>
          <w:rFonts w:hint="eastAsia" w:ascii="仿宋_GB2312" w:hAnsi="仿宋_GB2312" w:eastAsia="仿宋_GB2312" w:cs="仿宋_GB2312"/>
          <w:color w:val="000000"/>
          <w:kern w:val="0"/>
          <w:sz w:val="32"/>
          <w:szCs w:val="32"/>
          <w:highlight w:val="none"/>
          <w:lang w:val="en-US" w:eastAsia="zh-CN" w:bidi="ar-SA"/>
        </w:rPr>
        <w:t>完善知识产权保护立体化评价指标体系</w:t>
      </w:r>
      <w:r>
        <w:rPr>
          <w:rFonts w:hint="eastAsia" w:ascii="仿宋_GB2312" w:hAnsi="仿宋_GB2312" w:eastAsia="仿宋_GB2312" w:cs="仿宋_GB2312"/>
          <w:snapToGrid w:val="0"/>
          <w:color w:val="000000"/>
          <w:kern w:val="0"/>
          <w:sz w:val="32"/>
          <w:szCs w:val="32"/>
          <w:highlight w:val="none"/>
          <w:lang w:val="en-US" w:eastAsia="zh-CN" w:bidi="ar-SA"/>
        </w:rPr>
        <w:t>。</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2.认真实施知识产权保护政策制度。进一步贯彻落实国家知识产权局《商标侵权判断标准》《商标一般违法判断标准》《专利侵权纠纷行政裁决办案指南》《知识产权行政保护案件请示办理工作办法》等规定，规范知识产权执法案件查办，切实提高案件办理质量。制定完善本市《知识产权行政执法业务指导工作办法》《专利纠纷行政调解工作指引》《商标纠纷行政调解工作指引》《知识产权纠纷快速处理规范》等。</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3.加快新领域知识产权保护制度研究。鼓励积极探索大数据、人工智能、基因技术等新领域新业态知识产权保护策略、路径和方法。深化数据知识产权保护试点，在浦东新区率先探索数据知识产权登记制度。开展知识产权鉴定研究，制定加强知识产权鉴定工作衔接的实施意见，发布</w:t>
      </w:r>
      <w:r>
        <w:rPr>
          <w:rFonts w:hint="eastAsia" w:ascii="仿宋_GB2312" w:hAnsi="仿宋_GB2312" w:eastAsia="仿宋_GB2312" w:cs="仿宋_GB2312"/>
          <w:color w:val="000000"/>
          <w:kern w:val="0"/>
          <w:sz w:val="32"/>
          <w:szCs w:val="32"/>
          <w:highlight w:val="none"/>
          <w:lang w:val="en-US" w:eastAsia="zh-CN" w:bidi="ar"/>
        </w:rPr>
        <w:t>上海市</w:t>
      </w:r>
      <w:r>
        <w:rPr>
          <w:rFonts w:hint="eastAsia" w:ascii="仿宋_GB2312" w:hAnsi="仿宋_GB2312" w:eastAsia="仿宋_GB2312" w:cs="仿宋_GB2312"/>
          <w:snapToGrid w:val="0"/>
          <w:color w:val="000000"/>
          <w:kern w:val="0"/>
          <w:sz w:val="32"/>
          <w:szCs w:val="32"/>
          <w:highlight w:val="none"/>
          <w:lang w:val="en-US" w:eastAsia="zh-CN" w:bidi="ar-SA"/>
        </w:rPr>
        <w:t>知识产权鉴定机构名录，成立知识产权鉴定专委会，充分发挥鉴定在知识产权保护中的积极作用。</w:t>
      </w:r>
      <w:r>
        <w:rPr>
          <w:rFonts w:hint="eastAsia" w:ascii="仿宋_GB2312" w:hAnsi="Times New Roman" w:eastAsia="仿宋_GB2312" w:cs="Times New Roman"/>
          <w:snapToGrid w:val="0"/>
          <w:color w:val="000000"/>
          <w:kern w:val="0"/>
          <w:sz w:val="32"/>
          <w:szCs w:val="32"/>
          <w:highlight w:val="none"/>
          <w:lang w:val="en-US" w:eastAsia="zh-CN" w:bidi="ar-SA"/>
        </w:rPr>
        <w:t>促进知识产权执法标准与司法裁判标准的协调统一，不断</w:t>
      </w:r>
      <w:r>
        <w:rPr>
          <w:rFonts w:hint="eastAsia" w:ascii="仿宋_GB2312" w:hAnsi="Times New Roman" w:eastAsia="仿宋_GB2312" w:cs="Times New Roman"/>
          <w:snapToGrid w:val="0"/>
          <w:color w:val="000000"/>
          <w:kern w:val="0"/>
          <w:sz w:val="32"/>
          <w:szCs w:val="32"/>
          <w:highlight w:val="none"/>
          <w:lang w:val="en-US" w:eastAsia="zh-Hans" w:bidi="ar-SA"/>
        </w:rPr>
        <w:t>完善</w:t>
      </w:r>
      <w:r>
        <w:rPr>
          <w:rFonts w:ascii="仿宋_GB2312" w:hAnsi="Times New Roman" w:eastAsia="仿宋_GB2312" w:cs="Times New Roman"/>
          <w:snapToGrid w:val="0"/>
          <w:color w:val="000000"/>
          <w:kern w:val="0"/>
          <w:sz w:val="32"/>
          <w:szCs w:val="32"/>
          <w:highlight w:val="none"/>
          <w:lang w:val="en-US" w:eastAsia="zh-Hans" w:bidi="ar-SA"/>
        </w:rPr>
        <w:t>行政调解协议司法确认机制。</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楷体_GB2312" w:hAnsi="楷体_GB2312" w:eastAsia="楷体_GB2312" w:cs="楷体_GB2312"/>
          <w:snapToGrid w:val="0"/>
          <w:color w:val="000000"/>
          <w:kern w:val="0"/>
          <w:sz w:val="32"/>
          <w:szCs w:val="32"/>
          <w:highlight w:val="none"/>
          <w:lang w:val="en-US" w:eastAsia="zh-CN" w:bidi="ar-SA"/>
        </w:rPr>
      </w:pPr>
      <w:r>
        <w:rPr>
          <w:rFonts w:hint="eastAsia" w:ascii="楷体_GB2312" w:hAnsi="楷体_GB2312" w:eastAsia="楷体_GB2312" w:cs="楷体_GB2312"/>
          <w:snapToGrid w:val="0"/>
          <w:color w:val="000000"/>
          <w:kern w:val="0"/>
          <w:sz w:val="32"/>
          <w:szCs w:val="32"/>
          <w:highlight w:val="none"/>
          <w:lang w:val="en-US" w:eastAsia="zh-CN" w:bidi="ar-SA"/>
        </w:rPr>
        <w:t>（二）加大知识产权行政保护执法力度</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4.</w:t>
      </w:r>
      <w:r>
        <w:rPr>
          <w:rFonts w:hint="eastAsia" w:ascii="仿宋_GB2312" w:hAnsi="仿宋_GB2312" w:eastAsia="仿宋_GB2312" w:cs="仿宋_GB2312"/>
          <w:color w:val="000000"/>
          <w:kern w:val="0"/>
          <w:sz w:val="32"/>
          <w:szCs w:val="32"/>
          <w:highlight w:val="none"/>
          <w:lang w:val="en-US" w:eastAsia="zh-CN" w:bidi="ar-SA"/>
        </w:rPr>
        <w:t>加强专利侵权纠纷行政裁决</w:t>
      </w:r>
      <w:r>
        <w:rPr>
          <w:rFonts w:hint="eastAsia" w:ascii="仿宋_GB2312" w:hAnsi="仿宋_GB2312" w:eastAsia="仿宋_GB2312" w:cs="仿宋_GB2312"/>
          <w:snapToGrid w:val="0"/>
          <w:color w:val="000000"/>
          <w:kern w:val="0"/>
          <w:sz w:val="32"/>
          <w:szCs w:val="32"/>
          <w:highlight w:val="none"/>
          <w:lang w:val="en-US" w:eastAsia="zh-CN" w:bidi="ar-SA"/>
        </w:rPr>
        <w:t>。畅通行政裁决受理渠道，简化受理程序，对于符合条件的案件推行书面审理、线上审理等程序。会同市医保部门研究建立医药集中采购领域专利保护制度，制定出台相关意见，并作为重大行政决策事项予以推进。加大涉民营企业、中小微企业、外资企业等专利侵权纠纷办案力度，</w:t>
      </w:r>
      <w:r>
        <w:rPr>
          <w:rFonts w:hint="eastAsia" w:ascii="仿宋_GB2312" w:hAnsi="仿宋_GB2312" w:eastAsia="仿宋_GB2312" w:cs="仿宋_GB2312"/>
          <w:snapToGrid w:val="0"/>
          <w:color w:val="000000"/>
          <w:kern w:val="0"/>
          <w:sz w:val="32"/>
          <w:szCs w:val="32"/>
          <w:highlight w:val="none"/>
          <w:lang w:val="en-US" w:eastAsia="zh-Hans" w:bidi="ar-SA"/>
        </w:rPr>
        <w:t>审结一批在全国有影响力的典型案件</w:t>
      </w:r>
      <w:r>
        <w:rPr>
          <w:rFonts w:hint="eastAsia" w:ascii="仿宋_GB2312" w:hAnsi="仿宋_GB2312" w:eastAsia="仿宋_GB2312" w:cs="仿宋_GB2312"/>
          <w:snapToGrid w:val="0"/>
          <w:color w:val="000000"/>
          <w:kern w:val="0"/>
          <w:sz w:val="32"/>
          <w:szCs w:val="32"/>
          <w:highlight w:val="none"/>
          <w:lang w:val="en-US" w:eastAsia="zh-CN" w:bidi="ar-SA"/>
        </w:rPr>
        <w:t>。</w:t>
      </w:r>
      <w:r>
        <w:rPr>
          <w:rFonts w:hint="eastAsia" w:ascii="仿宋_GB2312" w:hAnsi="仿宋_GB2312" w:eastAsia="仿宋_GB2312" w:cs="仿宋_GB2312"/>
          <w:color w:val="000000"/>
          <w:kern w:val="0"/>
          <w:sz w:val="32"/>
          <w:szCs w:val="32"/>
          <w:highlight w:val="none"/>
          <w:lang w:val="en-US" w:eastAsia="zh-CN" w:bidi="ar-SA"/>
        </w:rPr>
        <w:t>推进知识产权纠纷快速处理试点</w:t>
      </w:r>
      <w:r>
        <w:rPr>
          <w:rFonts w:hint="eastAsia" w:ascii="仿宋_GB2312" w:hAnsi="仿宋_GB2312" w:eastAsia="仿宋_GB2312" w:cs="仿宋_GB2312"/>
          <w:snapToGrid w:val="0"/>
          <w:color w:val="000000"/>
          <w:kern w:val="0"/>
          <w:sz w:val="32"/>
          <w:szCs w:val="32"/>
          <w:highlight w:val="none"/>
          <w:lang w:val="en-US" w:eastAsia="zh-Hans" w:bidi="ar-SA"/>
        </w:rPr>
        <w:t>，</w:t>
      </w:r>
      <w:r>
        <w:rPr>
          <w:rFonts w:hint="eastAsia" w:ascii="仿宋_GB2312" w:hAnsi="仿宋_GB2312" w:eastAsia="仿宋_GB2312" w:cs="仿宋_GB2312"/>
          <w:snapToGrid w:val="0"/>
          <w:color w:val="000000"/>
          <w:kern w:val="0"/>
          <w:sz w:val="32"/>
          <w:szCs w:val="32"/>
          <w:highlight w:val="none"/>
          <w:lang w:val="en-US" w:eastAsia="zh-CN" w:bidi="ar-SA"/>
        </w:rPr>
        <w:t>加强与</w:t>
      </w:r>
      <w:r>
        <w:rPr>
          <w:rFonts w:hint="eastAsia" w:ascii="仿宋_GB2312" w:hAnsi="仿宋_GB2312" w:eastAsia="仿宋_GB2312" w:cs="仿宋_GB2312"/>
          <w:snapToGrid w:val="0"/>
          <w:color w:val="000000"/>
          <w:kern w:val="0"/>
          <w:sz w:val="32"/>
          <w:szCs w:val="32"/>
          <w:highlight w:val="none"/>
          <w:lang w:val="en-US" w:eastAsia="zh-Hans" w:bidi="ar-SA"/>
        </w:rPr>
        <w:t>专利侵权纠纷行政裁决</w:t>
      </w:r>
      <w:r>
        <w:rPr>
          <w:rFonts w:hint="eastAsia" w:ascii="仿宋_GB2312" w:hAnsi="仿宋_GB2312" w:eastAsia="仿宋_GB2312" w:cs="仿宋_GB2312"/>
          <w:snapToGrid w:val="0"/>
          <w:color w:val="000000"/>
          <w:kern w:val="0"/>
          <w:sz w:val="32"/>
          <w:szCs w:val="32"/>
          <w:highlight w:val="none"/>
          <w:lang w:val="en-US" w:eastAsia="zh-CN" w:bidi="ar-SA"/>
        </w:rPr>
        <w:t>工作衔接。制定技术专家支撑专利侵权纠纷行政裁决工作细则，有效发挥技术咨询、技术调查和技术鉴定等各项技术支撑工作在知识产权行政办案中的作用，全面提升办案质量。</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napToGrid w:val="0"/>
          <w:color w:val="000000"/>
          <w:kern w:val="0"/>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CN" w:bidi="ar-SA"/>
        </w:rPr>
        <w:t>5.严格商标行政执法保护。重点围绕商标印制、生产制造、商业零售等关键环节，聚焦直播带货、微店微商等新兴领域，不断加强对涉及区域广、持续时间长、涉案金额大、社会关注度高等严重侵权行为的案件查处力度。严厉打击商标领域重复侵权、群体侵权、恶意侵权等行为。加大对线上线下违反禁止性规定使用商标等违反商标管理秩序行为的规制。认真督促定牌加工企业，严格履行商标审核义务，防范商标侵权行为发生。</w:t>
      </w:r>
      <w:r>
        <w:rPr>
          <w:rFonts w:hint="eastAsia" w:ascii="仿宋_GB2312" w:hAnsi="仿宋_GB2312" w:eastAsia="仿宋_GB2312" w:cs="仿宋_GB2312"/>
          <w:color w:val="000000"/>
          <w:kern w:val="0"/>
          <w:sz w:val="32"/>
          <w:szCs w:val="32"/>
          <w:highlight w:val="none"/>
          <w:lang w:val="en-US" w:eastAsia="zh-CN" w:bidi="ar-SA"/>
        </w:rPr>
        <w:t>完善重点商标保护名录制度，实现精准保护和长效监管。</w:t>
      </w:r>
    </w:p>
    <w:p>
      <w:pPr>
        <w:keepNext w:val="0"/>
        <w:keepLines w:val="0"/>
        <w:pageBreakBefore w:val="0"/>
        <w:widowControl w:val="0"/>
        <w:suppressAutoHyphens/>
        <w:kinsoku/>
        <w:wordWrap/>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rPr>
        <w:t>6.健全地理标志保护监管体系。落实《地理标志保护和运用“十四五”规划》</w:t>
      </w:r>
      <w:r>
        <w:rPr>
          <w:rFonts w:hint="eastAsia" w:ascii="仿宋_GB2312" w:hAnsi="仿宋_GB2312" w:eastAsia="仿宋_GB2312" w:cs="仿宋_GB2312"/>
          <w:color w:val="000000"/>
          <w:sz w:val="32"/>
          <w:szCs w:val="32"/>
          <w:highlight w:val="none"/>
        </w:rPr>
        <w:t>《关于进一步加强地理标志保护的指导意见》，</w:t>
      </w:r>
      <w:r>
        <w:rPr>
          <w:rFonts w:hint="eastAsia" w:ascii="仿宋_GB2312" w:hAnsi="仿宋_GB2312" w:eastAsia="仿宋_GB2312" w:cs="仿宋_GB2312"/>
          <w:snapToGrid w:val="0"/>
          <w:color w:val="000000"/>
          <w:kern w:val="0"/>
          <w:sz w:val="32"/>
          <w:szCs w:val="32"/>
          <w:highlight w:val="none"/>
          <w:lang w:eastAsia="zh-CN"/>
        </w:rPr>
        <w:t>组织实施</w:t>
      </w:r>
      <w:r>
        <w:rPr>
          <w:rFonts w:hint="eastAsia" w:ascii="仿宋_GB2312" w:hAnsi="仿宋_GB2312" w:eastAsia="仿宋_GB2312" w:cs="仿宋_GB2312"/>
          <w:snapToGrid w:val="0"/>
          <w:color w:val="000000"/>
          <w:kern w:val="0"/>
          <w:sz w:val="32"/>
          <w:szCs w:val="32"/>
          <w:highlight w:val="none"/>
        </w:rPr>
        <w:t>地理标志保护</w:t>
      </w:r>
      <w:r>
        <w:rPr>
          <w:rFonts w:hint="eastAsia" w:ascii="仿宋_GB2312" w:hAnsi="仿宋_GB2312" w:eastAsia="仿宋_GB2312" w:cs="仿宋_GB2312"/>
          <w:snapToGrid w:val="0"/>
          <w:color w:val="000000"/>
          <w:kern w:val="0"/>
          <w:sz w:val="32"/>
          <w:szCs w:val="32"/>
          <w:highlight w:val="none"/>
          <w:lang w:eastAsia="zh-CN"/>
        </w:rPr>
        <w:t>工程</w:t>
      </w:r>
      <w:r>
        <w:rPr>
          <w:rFonts w:hint="eastAsia" w:ascii="仿宋_GB2312" w:hAnsi="仿宋_GB2312" w:eastAsia="仿宋_GB2312" w:cs="仿宋_GB2312"/>
          <w:snapToGrid w:val="0"/>
          <w:color w:val="000000"/>
          <w:kern w:val="0"/>
          <w:sz w:val="32"/>
          <w:szCs w:val="32"/>
          <w:highlight w:val="none"/>
        </w:rPr>
        <w:t>。</w:t>
      </w:r>
      <w:r>
        <w:rPr>
          <w:rFonts w:hint="eastAsia" w:ascii="仿宋_GB2312" w:hAnsi="仿宋_GB2312" w:eastAsia="仿宋_GB2312" w:cs="仿宋_GB2312"/>
          <w:snapToGrid w:val="0"/>
          <w:color w:val="000000"/>
          <w:kern w:val="0"/>
          <w:sz w:val="32"/>
          <w:szCs w:val="32"/>
          <w:highlight w:val="none"/>
          <w:lang w:eastAsia="zh-CN"/>
        </w:rPr>
        <w:t>持续推进地理标志专用标志使用核准改革试点，</w:t>
      </w:r>
      <w:r>
        <w:rPr>
          <w:rFonts w:hint="eastAsia" w:ascii="仿宋_GB2312" w:hAnsi="仿宋_GB2312" w:eastAsia="仿宋_GB2312" w:cs="仿宋_GB2312"/>
          <w:snapToGrid w:val="0"/>
          <w:color w:val="000000"/>
          <w:kern w:val="0"/>
          <w:sz w:val="32"/>
          <w:szCs w:val="32"/>
          <w:highlight w:val="none"/>
        </w:rPr>
        <w:t>出台</w:t>
      </w:r>
      <w:r>
        <w:rPr>
          <w:rFonts w:hint="eastAsia" w:ascii="仿宋_GB2312" w:hAnsi="仿宋_GB2312" w:eastAsia="仿宋_GB2312" w:cs="仿宋_GB2312"/>
          <w:snapToGrid w:val="0"/>
          <w:color w:val="000000"/>
          <w:kern w:val="0"/>
          <w:sz w:val="32"/>
          <w:szCs w:val="32"/>
          <w:highlight w:val="none"/>
          <w:lang w:eastAsia="zh-CN"/>
        </w:rPr>
        <w:t>《上海市</w:t>
      </w:r>
      <w:r>
        <w:rPr>
          <w:rFonts w:hint="eastAsia" w:ascii="仿宋_GB2312" w:hAnsi="仿宋_GB2312" w:eastAsia="仿宋_GB2312" w:cs="仿宋_GB2312"/>
          <w:snapToGrid w:val="0"/>
          <w:color w:val="000000"/>
          <w:kern w:val="0"/>
          <w:sz w:val="32"/>
          <w:szCs w:val="32"/>
          <w:highlight w:val="none"/>
        </w:rPr>
        <w:t>地理标志专用标志使用核准管理办法</w:t>
      </w:r>
      <w:r>
        <w:rPr>
          <w:rFonts w:hint="eastAsia" w:ascii="仿宋_GB2312" w:hAnsi="仿宋_GB2312" w:eastAsia="仿宋_GB2312" w:cs="仿宋_GB2312"/>
          <w:snapToGrid w:val="0"/>
          <w:color w:val="000000"/>
          <w:kern w:val="0"/>
          <w:sz w:val="32"/>
          <w:szCs w:val="32"/>
          <w:highlight w:val="none"/>
          <w:lang w:eastAsia="zh-CN"/>
        </w:rPr>
        <w:t>》，</w:t>
      </w:r>
      <w:r>
        <w:rPr>
          <w:rFonts w:hint="eastAsia" w:ascii="仿宋_GB2312" w:hAnsi="仿宋_GB2312" w:eastAsia="仿宋_GB2312" w:cs="仿宋_GB2312"/>
          <w:snapToGrid w:val="0"/>
          <w:color w:val="000000"/>
          <w:kern w:val="0"/>
          <w:sz w:val="32"/>
          <w:szCs w:val="32"/>
          <w:highlight w:val="none"/>
        </w:rPr>
        <w:t>全力支持符合条件的</w:t>
      </w:r>
      <w:r>
        <w:rPr>
          <w:rFonts w:hint="eastAsia" w:ascii="仿宋_GB2312" w:hAnsi="仿宋_GB2312" w:eastAsia="仿宋_GB2312" w:cs="仿宋_GB2312"/>
          <w:snapToGrid w:val="0"/>
          <w:color w:val="000000"/>
          <w:kern w:val="0"/>
          <w:sz w:val="32"/>
          <w:szCs w:val="32"/>
          <w:highlight w:val="none"/>
          <w:lang w:eastAsia="zh-CN"/>
        </w:rPr>
        <w:t>市场主体</w:t>
      </w:r>
      <w:r>
        <w:rPr>
          <w:rFonts w:hint="eastAsia" w:ascii="仿宋_GB2312" w:hAnsi="仿宋_GB2312" w:eastAsia="仿宋_GB2312" w:cs="仿宋_GB2312"/>
          <w:snapToGrid w:val="0"/>
          <w:color w:val="000000"/>
          <w:kern w:val="0"/>
          <w:sz w:val="32"/>
          <w:szCs w:val="32"/>
          <w:highlight w:val="none"/>
        </w:rPr>
        <w:t>规范使用地理标志专用标志</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napToGrid w:val="0"/>
          <w:color w:val="000000"/>
          <w:kern w:val="0"/>
          <w:sz w:val="32"/>
          <w:szCs w:val="32"/>
          <w:highlight w:val="none"/>
        </w:rPr>
        <w:t>强化地理标志保护监管，</w:t>
      </w:r>
      <w:r>
        <w:rPr>
          <w:rFonts w:hint="eastAsia" w:ascii="仿宋_GB2312" w:hAnsi="仿宋_GB2312" w:eastAsia="仿宋_GB2312" w:cs="仿宋_GB2312"/>
          <w:color w:val="000000"/>
          <w:sz w:val="32"/>
          <w:szCs w:val="32"/>
          <w:highlight w:val="none"/>
        </w:rPr>
        <w:t>组织开展地理标志专项整治</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napToGrid w:val="0"/>
          <w:color w:val="000000"/>
          <w:kern w:val="0"/>
          <w:sz w:val="32"/>
          <w:szCs w:val="32"/>
          <w:highlight w:val="none"/>
        </w:rPr>
        <w:t>将地理标志保护产品和作为集体商标、证明商标注册的地理标志保护监管纳入日常监管，重点围绕产地控制和特色质量控制，加大抽查范围、比例和频次，突出上下联动、部门协同，不断探索具有都市特色的地理标志保护工作体系，助力本市地理标志产业做优做强。</w:t>
      </w:r>
    </w:p>
    <w:p>
      <w:pPr>
        <w:keepNext w:val="0"/>
        <w:keepLines w:val="0"/>
        <w:pageBreakBefore w:val="0"/>
        <w:widowControl w:val="0"/>
        <w:suppressAutoHyphens/>
        <w:kinsoku/>
        <w:wordWrap/>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sz w:val="32"/>
          <w:szCs w:val="32"/>
          <w:highlight w:val="none"/>
        </w:rPr>
        <w:t>7.严厉打击非正常专利申请和商标恶意注册行为。持续规范专利申请行为，进一步完善市区两级处置联动机制，继续开展专利申请精准管理名单申报工作。对提交非正常专利申请的单位和个人，在相关项目申报、资助奖励、预审服务、优先审查等环节予以重点关注。发挥专利商标相关业务窗口“前哨”作用，</w:t>
      </w:r>
      <w:r>
        <w:rPr>
          <w:rFonts w:hint="eastAsia" w:ascii="仿宋_GB2312" w:hAnsi="仿宋_GB2312" w:eastAsia="仿宋_GB2312" w:cs="仿宋_GB2312"/>
          <w:color w:val="000000"/>
          <w:sz w:val="32"/>
          <w:szCs w:val="40"/>
          <w:highlight w:val="none"/>
        </w:rPr>
        <w:t>积极排查</w:t>
      </w:r>
      <w:r>
        <w:rPr>
          <w:rFonts w:hint="eastAsia" w:ascii="仿宋_GB2312" w:hAnsi="仿宋_GB2312" w:eastAsia="仿宋_GB2312" w:cs="仿宋_GB2312"/>
          <w:snapToGrid w:val="0"/>
          <w:color w:val="000000"/>
          <w:sz w:val="32"/>
          <w:szCs w:val="32"/>
          <w:highlight w:val="none"/>
        </w:rPr>
        <w:t>非正常专利申请和商标恶意注册行为线索。及时查办上级转办的非正常专利申请重点问题线索和商标恶意注册申请案件线索，</w:t>
      </w:r>
      <w:r>
        <w:rPr>
          <w:rFonts w:hint="eastAsia" w:ascii="仿宋_GB2312" w:hAnsi="仿宋_GB2312" w:eastAsia="仿宋_GB2312" w:cs="仿宋_GB2312"/>
          <w:color w:val="000000"/>
          <w:sz w:val="32"/>
          <w:szCs w:val="40"/>
          <w:highlight w:val="none"/>
        </w:rPr>
        <w:t>依法从严处置</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snapToGrid w:val="0"/>
          <w:color w:val="000000"/>
          <w:kern w:val="0"/>
          <w:sz w:val="32"/>
          <w:szCs w:val="32"/>
          <w:highlight w:val="none"/>
        </w:rPr>
        <w:t>重点加强对非正常专利申请、商标恶意注册等行为的信用监管，优化完善知识产权领域以信用为基础的分级分类监管工作。</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楷体_GB2312" w:hAnsi="楷体_GB2312" w:eastAsia="楷体_GB2312" w:cs="楷体_GB2312"/>
          <w:color w:val="000000"/>
          <w:kern w:val="2"/>
          <w:sz w:val="32"/>
          <w:szCs w:val="32"/>
          <w:highlight w:val="none"/>
          <w:lang w:val="en-US" w:eastAsia="zh-CN" w:bidi="ar-SA"/>
        </w:rPr>
        <w:t>（三）强化重点领域、关键环节、重大活动保护</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8.加强展会知识产权保护。严格按照《展会知识产权保护指引》，做好驻展工作，尤其加强展前排查、展中巡查、展后追查，做好对知识产权侵权行为的防范、调解和查处工作。会同中国国际进口博览局共同设立知识产权纠纷处理中心，开展第六届中国国际进口博览会知识产权保护百日行动，持续打造上海知识产权保护品牌。积极参与</w:t>
      </w:r>
      <w:r>
        <w:rPr>
          <w:rFonts w:ascii="仿宋_GB2312" w:hAnsi="仿宋_GB2312" w:eastAsia="仿宋_GB2312" w:cs="仿宋_GB2312"/>
          <w:color w:val="000000"/>
          <w:kern w:val="2"/>
          <w:sz w:val="32"/>
          <w:szCs w:val="32"/>
          <w:highlight w:val="none"/>
          <w:lang w:val="en-US" w:eastAsia="zh-CN" w:bidi="ar-SA"/>
        </w:rPr>
        <w:t>中国（上海）国际技术进出口交易会</w:t>
      </w:r>
      <w:r>
        <w:rPr>
          <w:rFonts w:hint="eastAsia" w:ascii="仿宋_GB2312" w:hAnsi="仿宋_GB2312" w:eastAsia="仿宋_GB2312" w:cs="仿宋_GB2312"/>
          <w:color w:val="000000"/>
          <w:kern w:val="2"/>
          <w:sz w:val="32"/>
          <w:szCs w:val="32"/>
          <w:highlight w:val="none"/>
          <w:lang w:val="en-US" w:eastAsia="zh-CN" w:bidi="ar-SA"/>
        </w:rPr>
        <w:t>工作，开展知识产权主题日系列活动，有效维护上交会知识产权秩序。</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9.深化规范化市场建设。实施《商品交易市场知识产权保护规范》国家标准，推进知识产权保护规范化市场培育和延续申报工作，树立一批规范化市场标杆单位。突出流通领域知识产权保护长效机制建设，组织开展“销售真牌真品，保护知识产权”承诺活动，在重点市场和商业企业中认定一批双真承诺单位，共同打造“双真”品牌，防范商业流通领域的知识产权侵权行为。</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10.加大电子商务平台监管力度。持续推进《电子商务平台知识产权保护管理》国家标准执行，引导电子商务平台实施知识产权全流程管理和保护。依托第三方技术手段定期开展网络监测，及时发现平台侵权假冒等违法行为。加大对重点电子商务平台整治力度，提升线上侵权假冒行为治理水平，提高对平台内经营者知识产权授权信息抽查检查频次，完善线下线上一体化保护。修订完善《上海市电子商务知识产权保护工作若干意见》，进一步引导和规范电子商务平台履行知识产权保护义务。</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11.护航重大活动及民生领域保护。做好第19届亚运会、第31届世界大学生夏季运动会、中国载人航天工程系列飞行任务等国际大型赛事、重大工程相关特殊标志保护。围绕“五一”、端午、中秋、国庆、应季地理标志产品集中上市等重要时间节点，以问题为导向制定工作预案，开展专项行动，快速有效应对各类突发情况。关注关系公共利益和人民群众切身利益的领域，以民生物资、公共卫生、儿童健康、创意设计等环节的商品为重点，同时聚焦绿色低碳技术、康复辅助医疗器具等领域，加强知识产权行政保护。配合做好“扫黑除恶”市场流通领域相关整治工作，及时移送知识产权保护工作中涉黑涉恶和行业乱象线索。</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楷体_GB2312" w:hAnsi="楷体_GB2312" w:eastAsia="楷体_GB2312" w:cs="楷体_GB2312"/>
          <w:snapToGrid w:val="0"/>
          <w:color w:val="000000"/>
          <w:kern w:val="0"/>
          <w:sz w:val="32"/>
          <w:szCs w:val="32"/>
          <w:highlight w:val="none"/>
          <w:lang w:val="en-US" w:eastAsia="zh-CN" w:bidi="ar-SA"/>
        </w:rPr>
      </w:pPr>
      <w:r>
        <w:rPr>
          <w:rFonts w:hint="eastAsia" w:ascii="楷体_GB2312" w:hAnsi="楷体_GB2312" w:eastAsia="楷体_GB2312" w:cs="楷体_GB2312"/>
          <w:snapToGrid w:val="0"/>
          <w:color w:val="000000"/>
          <w:kern w:val="0"/>
          <w:sz w:val="32"/>
          <w:szCs w:val="32"/>
          <w:highlight w:val="none"/>
          <w:lang w:val="en-US" w:eastAsia="zh-Hans" w:bidi="ar-SA"/>
        </w:rPr>
        <w:t>（四）</w:t>
      </w:r>
      <w:r>
        <w:rPr>
          <w:rFonts w:hint="eastAsia" w:ascii="楷体_GB2312" w:hAnsi="楷体_GB2312" w:eastAsia="楷体_GB2312" w:cs="楷体_GB2312"/>
          <w:snapToGrid w:val="0"/>
          <w:color w:val="000000"/>
          <w:kern w:val="0"/>
          <w:sz w:val="32"/>
          <w:szCs w:val="32"/>
          <w:highlight w:val="none"/>
          <w:lang w:val="en-US" w:eastAsia="zh-CN" w:bidi="ar-SA"/>
        </w:rPr>
        <w:t>构建知识产权</w:t>
      </w:r>
      <w:r>
        <w:rPr>
          <w:rFonts w:hint="eastAsia" w:ascii="楷体_GB2312" w:hAnsi="楷体_GB2312" w:eastAsia="楷体_GB2312" w:cs="楷体_GB2312"/>
          <w:snapToGrid w:val="0"/>
          <w:color w:val="000000"/>
          <w:kern w:val="0"/>
          <w:sz w:val="32"/>
          <w:szCs w:val="32"/>
          <w:highlight w:val="none"/>
          <w:lang w:val="en-US" w:eastAsia="zh-Hans" w:bidi="ar-SA"/>
        </w:rPr>
        <w:t>行政保护工作</w:t>
      </w:r>
      <w:r>
        <w:rPr>
          <w:rFonts w:hint="eastAsia" w:ascii="楷体_GB2312" w:hAnsi="楷体_GB2312" w:eastAsia="楷体_GB2312" w:cs="楷体_GB2312"/>
          <w:snapToGrid w:val="0"/>
          <w:color w:val="000000"/>
          <w:kern w:val="0"/>
          <w:sz w:val="32"/>
          <w:szCs w:val="32"/>
          <w:highlight w:val="none"/>
          <w:lang w:val="en-US" w:eastAsia="zh-CN" w:bidi="ar-SA"/>
        </w:rPr>
        <w:t>体系</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snapToGrid w:val="0"/>
          <w:color w:val="000000"/>
          <w:kern w:val="0"/>
          <w:sz w:val="32"/>
          <w:szCs w:val="32"/>
          <w:highlight w:val="none"/>
          <w:lang w:val="en-US" w:eastAsia="zh-Hans" w:bidi="ar-SA"/>
        </w:rPr>
        <w:t>12</w:t>
      </w:r>
      <w:r>
        <w:rPr>
          <w:rFonts w:hint="eastAsia" w:ascii="仿宋_GB2312" w:hAnsi="仿宋_GB2312" w:eastAsia="仿宋_GB2312" w:cs="仿宋_GB2312"/>
          <w:snapToGrid w:val="0"/>
          <w:color w:val="000000"/>
          <w:kern w:val="0"/>
          <w:sz w:val="32"/>
          <w:szCs w:val="32"/>
          <w:highlight w:val="none"/>
          <w:lang w:val="en-US" w:eastAsia="zh-CN" w:bidi="ar-SA"/>
        </w:rPr>
        <w:t>.建立健全</w:t>
      </w:r>
      <w:r>
        <w:rPr>
          <w:rFonts w:hint="eastAsia" w:ascii="仿宋_GB2312" w:hAnsi="仿宋_GB2312" w:eastAsia="仿宋_GB2312" w:cs="仿宋_GB2312"/>
          <w:snapToGrid w:val="0"/>
          <w:color w:val="000000"/>
          <w:kern w:val="0"/>
          <w:sz w:val="32"/>
          <w:szCs w:val="32"/>
          <w:highlight w:val="none"/>
          <w:lang w:val="en-US" w:eastAsia="zh-Hans" w:bidi="ar-SA"/>
        </w:rPr>
        <w:t>知识产权快速协同保护体系。</w:t>
      </w:r>
      <w:r>
        <w:rPr>
          <w:rFonts w:hint="eastAsia" w:ascii="仿宋_GB2312" w:hAnsi="仿宋_GB2312" w:eastAsia="仿宋_GB2312" w:cs="仿宋_GB2312"/>
          <w:snapToGrid w:val="0"/>
          <w:color w:val="000000"/>
          <w:kern w:val="0"/>
          <w:sz w:val="32"/>
          <w:szCs w:val="32"/>
          <w:highlight w:val="none"/>
          <w:lang w:val="en-US" w:eastAsia="zh-CN" w:bidi="ar-SA"/>
        </w:rPr>
        <w:t>推动上海市知识产权保护中心稳定运行，加速</w:t>
      </w:r>
      <w:r>
        <w:rPr>
          <w:rFonts w:hint="eastAsia" w:ascii="仿宋_GB2312" w:hAnsi="仿宋_GB2312" w:eastAsia="仿宋_GB2312" w:cs="仿宋_GB2312"/>
          <w:snapToGrid w:val="0"/>
          <w:color w:val="000000"/>
          <w:kern w:val="2"/>
          <w:sz w:val="32"/>
          <w:szCs w:val="32"/>
          <w:highlight w:val="none"/>
          <w:lang w:val="en-US" w:eastAsia="zh-CN" w:bidi="ar-SA"/>
        </w:rPr>
        <w:t>上海奉贤（化妆品）知识产权快速维权中心</w:t>
      </w:r>
      <w:r>
        <w:rPr>
          <w:rFonts w:hint="eastAsia" w:ascii="仿宋_GB2312" w:hAnsi="仿宋_GB2312" w:eastAsia="仿宋_GB2312" w:cs="仿宋_GB2312"/>
          <w:color w:val="000000"/>
          <w:kern w:val="0"/>
          <w:sz w:val="32"/>
          <w:szCs w:val="32"/>
          <w:highlight w:val="none"/>
          <w:shd w:val="clear" w:color="auto" w:fill="FFFFFF"/>
          <w:lang w:val="en-US" w:eastAsia="zh-CN" w:bidi="ar-SA"/>
        </w:rPr>
        <w:t>筹建，发挥上海市浦东新区知识产</w:t>
      </w:r>
      <w:r>
        <w:rPr>
          <w:rFonts w:hint="eastAsia" w:ascii="仿宋_GB2312" w:hAnsi="仿宋_GB2312" w:eastAsia="仿宋_GB2312" w:cs="仿宋_GB2312"/>
          <w:color w:val="000000"/>
          <w:kern w:val="2"/>
          <w:sz w:val="32"/>
          <w:szCs w:val="32"/>
          <w:highlight w:val="none"/>
          <w:lang w:val="en-US" w:eastAsia="zh-CN" w:bidi="ar-SA"/>
        </w:rPr>
        <w:t>权保护中心的示范作用，加快在有条件的区申请布局国家级知识产权保护中心。通过建设保护中心和快维中心，对本市重点产业领域实现集快速预审、快速确权、快速维权为一体的协同保护。</w:t>
      </w:r>
    </w:p>
    <w:p>
      <w:pPr>
        <w:keepNext w:val="0"/>
        <w:keepLines w:val="0"/>
        <w:pageBreakBefore w:val="0"/>
        <w:widowControl w:val="0"/>
        <w:kinsoku/>
        <w:wordWrap/>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13.持续推进涉外知识产权保护体系建设。加强对外商投资企业的知识产权保护，组织召开外商投资企业圆桌会议，帮助解决知识产权保护问题。进一步完善海外知识产权纠纷应对指导工作机制，加强海外知识产权纠纷应对指导中心上海分中心和浦东分中心能力建设，建立海外法律法规库、案例库、专家库等，制定相关工作指引，加大海外公益性服务站的布局力度。完善知识产权对外转让审查制度，制定《上海市知识产权对外转让审查细则》，依法严格管理技术出口知识产权对外转让行为。</w:t>
      </w:r>
    </w:p>
    <w:p>
      <w:pPr>
        <w:keepNext w:val="0"/>
        <w:keepLines w:val="0"/>
        <w:pageBreakBefore w:val="0"/>
        <w:widowControl w:val="0"/>
        <w:numPr>
          <w:ilvl w:val="0"/>
          <w:numId w:val="0"/>
        </w:numPr>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黑体" w:hAnsi="黑体" w:eastAsia="黑体" w:cs="黑体"/>
          <w:snapToGrid w:val="0"/>
          <w:color w:val="000000"/>
          <w:kern w:val="0"/>
          <w:sz w:val="32"/>
          <w:szCs w:val="32"/>
          <w:highlight w:val="none"/>
          <w:lang w:val="en-US" w:eastAsia="zh-Hans" w:bidi="ar-SA"/>
        </w:rPr>
      </w:pPr>
      <w:r>
        <w:rPr>
          <w:rFonts w:hint="eastAsia" w:ascii="仿宋_GB2312" w:hAnsi="仿宋_GB2312" w:eastAsia="仿宋_GB2312" w:cs="仿宋_GB2312"/>
          <w:color w:val="000000"/>
          <w:kern w:val="0"/>
          <w:sz w:val="32"/>
          <w:szCs w:val="32"/>
          <w:highlight w:val="none"/>
          <w:lang w:val="en-US" w:eastAsia="zh-CN" w:bidi="ar-SA"/>
        </w:rPr>
        <w:t>14.不断完善跨区域跨部门协作保护。</w:t>
      </w:r>
      <w:r>
        <w:rPr>
          <w:rFonts w:hint="eastAsia" w:ascii="仿宋_GB2312" w:hAnsi="仿宋_GB2312" w:eastAsia="仿宋_GB2312" w:cs="仿宋_GB2312"/>
          <w:snapToGrid w:val="0"/>
          <w:color w:val="000000"/>
          <w:kern w:val="0"/>
          <w:sz w:val="32"/>
          <w:szCs w:val="32"/>
          <w:highlight w:val="none"/>
          <w:lang w:val="en-US" w:eastAsia="zh-CN" w:bidi="ar-SA"/>
        </w:rPr>
        <w:t>推进部门间的</w:t>
      </w:r>
      <w:r>
        <w:rPr>
          <w:rFonts w:hint="eastAsia" w:ascii="仿宋_GB2312" w:hAnsi="仿宋_GB2312" w:eastAsia="仿宋_GB2312" w:cs="仿宋_GB2312"/>
          <w:snapToGrid/>
          <w:color w:val="000000"/>
          <w:kern w:val="0"/>
          <w:sz w:val="32"/>
          <w:szCs w:val="32"/>
          <w:highlight w:val="none"/>
          <w:lang w:val="en-US" w:eastAsia="zh-CN" w:bidi="ar-SA"/>
        </w:rPr>
        <w:t>知识产权保护</w:t>
      </w:r>
      <w:r>
        <w:rPr>
          <w:rFonts w:hint="eastAsia" w:ascii="仿宋_GB2312" w:hAnsi="Times New Roman" w:eastAsia="仿宋_GB2312" w:cs="Times New Roman"/>
          <w:snapToGrid w:val="0"/>
          <w:color w:val="000000"/>
          <w:kern w:val="0"/>
          <w:sz w:val="32"/>
          <w:szCs w:val="32"/>
          <w:highlight w:val="none"/>
          <w:lang w:val="en-US" w:eastAsia="zh-CN" w:bidi="ar-SA"/>
        </w:rPr>
        <w:t>制度衔接，</w:t>
      </w:r>
      <w:r>
        <w:rPr>
          <w:rFonts w:hint="eastAsia" w:ascii="仿宋_GB2312" w:hAnsi="仿宋_GB2312" w:eastAsia="仿宋_GB2312" w:cs="仿宋_GB2312"/>
          <w:snapToGrid/>
          <w:color w:val="000000"/>
          <w:kern w:val="0"/>
          <w:sz w:val="32"/>
          <w:szCs w:val="32"/>
          <w:highlight w:val="none"/>
          <w:lang w:val="en-US" w:eastAsia="zh-CN" w:bidi="ar-SA"/>
        </w:rPr>
        <w:t>进一步畅通执法协作和协同联动，尤其是</w:t>
      </w:r>
      <w:r>
        <w:rPr>
          <w:rFonts w:hint="eastAsia" w:ascii="仿宋_GB2312" w:hAnsi="仿宋_GB2312" w:eastAsia="仿宋_GB2312" w:cs="仿宋_GB2312"/>
          <w:color w:val="000000"/>
          <w:kern w:val="0"/>
          <w:sz w:val="32"/>
          <w:szCs w:val="32"/>
          <w:highlight w:val="none"/>
          <w:lang w:val="en-US" w:eastAsia="zh-CN" w:bidi="ar-SA"/>
        </w:rPr>
        <w:t>建立与法院、检察院、公安部门的四方合作机制。</w:t>
      </w:r>
      <w:r>
        <w:rPr>
          <w:rFonts w:hint="eastAsia" w:ascii="仿宋_GB2312" w:hAnsi="仿宋_GB2312" w:eastAsia="仿宋_GB2312" w:cs="仿宋_GB2312"/>
          <w:snapToGrid w:val="0"/>
          <w:color w:val="000000"/>
          <w:kern w:val="0"/>
          <w:sz w:val="32"/>
          <w:szCs w:val="32"/>
          <w:highlight w:val="none"/>
          <w:lang w:val="en-US" w:eastAsia="zh-CN" w:bidi="ar-SA"/>
        </w:rPr>
        <w:t>加大跨区域办案协作、</w:t>
      </w:r>
      <w:r>
        <w:rPr>
          <w:rFonts w:hint="eastAsia" w:ascii="仿宋_GB2312" w:hAnsi="Times New Roman" w:eastAsia="仿宋_GB2312" w:cs="宋体"/>
          <w:snapToGrid w:val="0"/>
          <w:color w:val="000000"/>
          <w:kern w:val="0"/>
          <w:sz w:val="32"/>
          <w:szCs w:val="32"/>
          <w:highlight w:val="none"/>
          <w:lang w:val="en-US" w:eastAsia="zh-Hans" w:bidi="ar-SA"/>
        </w:rPr>
        <w:t>线索通报</w:t>
      </w:r>
      <w:r>
        <w:rPr>
          <w:rFonts w:hint="eastAsia" w:ascii="仿宋_GB2312" w:hAnsi="Times New Roman" w:eastAsia="仿宋_GB2312" w:cs="宋体"/>
          <w:snapToGrid w:val="0"/>
          <w:color w:val="000000"/>
          <w:kern w:val="0"/>
          <w:sz w:val="32"/>
          <w:szCs w:val="32"/>
          <w:highlight w:val="none"/>
          <w:lang w:val="en-US" w:eastAsia="zh-CN" w:bidi="ar-SA"/>
        </w:rPr>
        <w:t>、</w:t>
      </w:r>
      <w:r>
        <w:rPr>
          <w:rFonts w:hint="eastAsia" w:ascii="仿宋_GB2312" w:hAnsi="仿宋_GB2312" w:eastAsia="仿宋_GB2312" w:cs="仿宋_GB2312"/>
          <w:snapToGrid w:val="0"/>
          <w:color w:val="000000"/>
          <w:kern w:val="0"/>
          <w:sz w:val="32"/>
          <w:szCs w:val="32"/>
          <w:highlight w:val="none"/>
          <w:lang w:val="en-US" w:eastAsia="zh-CN" w:bidi="ar-SA"/>
        </w:rPr>
        <w:t>标准对接、业务交流力度，</w:t>
      </w:r>
      <w:r>
        <w:rPr>
          <w:rFonts w:hint="eastAsia" w:ascii="仿宋_GB2312" w:hAnsi="Times New Roman" w:eastAsia="仿宋_GB2312" w:cs="宋体"/>
          <w:snapToGrid w:val="0"/>
          <w:color w:val="000000"/>
          <w:kern w:val="0"/>
          <w:sz w:val="32"/>
          <w:szCs w:val="32"/>
          <w:highlight w:val="none"/>
          <w:lang w:val="en-US" w:eastAsia="zh-CN" w:bidi="ar-SA"/>
        </w:rPr>
        <w:t>深化</w:t>
      </w:r>
      <w:r>
        <w:rPr>
          <w:rFonts w:hint="eastAsia" w:ascii="仿宋_GB2312" w:hAnsi="Times New Roman" w:eastAsia="仿宋_GB2312" w:cs="宋体"/>
          <w:snapToGrid w:val="0"/>
          <w:color w:val="000000"/>
          <w:kern w:val="0"/>
          <w:sz w:val="32"/>
          <w:szCs w:val="32"/>
          <w:highlight w:val="none"/>
          <w:lang w:val="en-US" w:eastAsia="zh-Hans" w:bidi="ar-SA"/>
        </w:rPr>
        <w:t>十二省市</w:t>
      </w:r>
      <w:r>
        <w:rPr>
          <w:rFonts w:ascii="仿宋_GB2312" w:hAnsi="Times New Roman" w:eastAsia="仿宋_GB2312" w:cs="宋体"/>
          <w:snapToGrid w:val="0"/>
          <w:color w:val="000000"/>
          <w:kern w:val="0"/>
          <w:sz w:val="32"/>
          <w:szCs w:val="32"/>
          <w:highlight w:val="none"/>
          <w:lang w:val="en-US" w:eastAsia="zh-Hans" w:bidi="ar-SA"/>
        </w:rPr>
        <w:t>、</w:t>
      </w:r>
      <w:r>
        <w:rPr>
          <w:rFonts w:hint="eastAsia" w:ascii="仿宋_GB2312" w:hAnsi="Times New Roman" w:eastAsia="仿宋_GB2312" w:cs="宋体"/>
          <w:snapToGrid w:val="0"/>
          <w:color w:val="000000"/>
          <w:kern w:val="0"/>
          <w:sz w:val="32"/>
          <w:szCs w:val="32"/>
          <w:highlight w:val="none"/>
          <w:lang w:val="en-US" w:eastAsia="zh-CN" w:bidi="ar-SA"/>
        </w:rPr>
        <w:t>长三角地区的知识产权保护协作，</w:t>
      </w:r>
      <w:r>
        <w:rPr>
          <w:rFonts w:hint="eastAsia" w:ascii="仿宋_GB2312" w:hAnsi="仿宋_GB2312" w:eastAsia="仿宋_GB2312" w:cs="仿宋_GB2312"/>
          <w:color w:val="000000"/>
          <w:kern w:val="0"/>
          <w:sz w:val="32"/>
          <w:szCs w:val="32"/>
          <w:highlight w:val="none"/>
          <w:lang w:val="en-US" w:eastAsia="zh-CN" w:bidi="ar-SA"/>
        </w:rPr>
        <w:t>支持长三角G60科创走廊知识产权行政保护协作中心创新协作模式</w:t>
      </w:r>
      <w:r>
        <w:rPr>
          <w:rFonts w:hint="eastAsia" w:ascii="仿宋_GB2312" w:hAnsi="仿宋_GB2312" w:eastAsia="仿宋_GB2312" w:cs="仿宋_GB2312"/>
          <w:snapToGrid w:val="0"/>
          <w:color w:val="000000"/>
          <w:kern w:val="0"/>
          <w:sz w:val="32"/>
          <w:szCs w:val="32"/>
          <w:highlight w:val="none"/>
          <w:lang w:val="en-US" w:eastAsia="zh-Hans" w:bidi="ar-SA"/>
        </w:rPr>
        <w:t>。</w:t>
      </w:r>
    </w:p>
    <w:p>
      <w:pPr>
        <w:keepNext w:val="0"/>
        <w:keepLines w:val="0"/>
        <w:pageBreakBefore w:val="0"/>
        <w:widowControl w:val="0"/>
        <w:suppressAutoHyphens/>
        <w:kinsoku/>
        <w:wordWrap/>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napToGrid w:val="0"/>
          <w:color w:val="000000"/>
          <w:kern w:val="0"/>
          <w:sz w:val="32"/>
          <w:szCs w:val="32"/>
          <w:highlight w:val="none"/>
        </w:rPr>
      </w:pPr>
      <w:r>
        <w:rPr>
          <w:rFonts w:hint="eastAsia" w:ascii="仿宋_GB2312" w:hAnsi="仿宋_GB2312" w:eastAsia="仿宋_GB2312" w:cs="仿宋_GB2312"/>
          <w:snapToGrid w:val="0"/>
          <w:color w:val="000000"/>
          <w:kern w:val="0"/>
          <w:sz w:val="32"/>
          <w:szCs w:val="32"/>
          <w:highlight w:val="none"/>
          <w:lang w:val="en-US" w:eastAsia="zh-CN"/>
        </w:rPr>
        <w:t>15.努力构建纠纷</w:t>
      </w:r>
      <w:r>
        <w:rPr>
          <w:rFonts w:hint="eastAsia" w:ascii="仿宋_GB2312" w:hAnsi="仿宋_GB2312" w:eastAsia="仿宋_GB2312" w:cs="仿宋_GB2312"/>
          <w:snapToGrid w:val="0"/>
          <w:color w:val="000000"/>
          <w:kern w:val="0"/>
          <w:sz w:val="32"/>
          <w:szCs w:val="32"/>
          <w:highlight w:val="none"/>
          <w:lang w:eastAsia="zh-CN"/>
        </w:rPr>
        <w:t>多元化解机制。</w:t>
      </w:r>
      <w:r>
        <w:rPr>
          <w:rFonts w:hint="eastAsia" w:ascii="仿宋_GB2312" w:hAnsi="仿宋_GB2312" w:eastAsia="仿宋_GB2312" w:cs="仿宋_GB2312"/>
          <w:color w:val="000000"/>
          <w:sz w:val="32"/>
          <w:szCs w:val="32"/>
          <w:highlight w:val="none"/>
        </w:rPr>
        <w:t>畅通投诉举报渠道，完善纠纷处理</w:t>
      </w:r>
      <w:r>
        <w:rPr>
          <w:rFonts w:hint="eastAsia" w:ascii="仿宋_GB2312" w:hAnsi="仿宋_GB2312" w:eastAsia="仿宋_GB2312" w:cs="仿宋_GB2312"/>
          <w:color w:val="000000"/>
          <w:sz w:val="32"/>
          <w:szCs w:val="32"/>
          <w:highlight w:val="none"/>
          <w:lang w:eastAsia="zh-CN"/>
        </w:rPr>
        <w:t>措施</w:t>
      </w:r>
      <w:r>
        <w:rPr>
          <w:rFonts w:hint="eastAsia" w:ascii="仿宋_GB2312" w:hAnsi="仿宋_GB2312" w:eastAsia="仿宋_GB2312" w:cs="仿宋_GB2312"/>
          <w:color w:val="000000"/>
          <w:sz w:val="32"/>
          <w:szCs w:val="32"/>
          <w:highlight w:val="none"/>
        </w:rPr>
        <w:t>，高效化解各类知识产权纠纷。</w:t>
      </w:r>
      <w:r>
        <w:rPr>
          <w:rFonts w:hint="eastAsia" w:ascii="仿宋_GB2312" w:hAnsi="仿宋_GB2312" w:eastAsia="仿宋_GB2312" w:cs="仿宋_GB2312"/>
          <w:snapToGrid w:val="0"/>
          <w:color w:val="000000"/>
          <w:kern w:val="0"/>
          <w:sz w:val="32"/>
          <w:szCs w:val="32"/>
          <w:highlight w:val="none"/>
          <w:lang w:eastAsia="zh-CN"/>
        </w:rPr>
        <w:t>推动知识产权</w:t>
      </w:r>
      <w:r>
        <w:rPr>
          <w:rFonts w:hint="eastAsia" w:ascii="仿宋_GB2312" w:hAnsi="仿宋_GB2312" w:eastAsia="仿宋_GB2312" w:cs="仿宋_GB2312"/>
          <w:snapToGrid w:val="0"/>
          <w:color w:val="000000"/>
          <w:kern w:val="0"/>
          <w:sz w:val="32"/>
          <w:szCs w:val="32"/>
          <w:highlight w:val="none"/>
          <w:lang w:eastAsia="zh-Hans"/>
        </w:rPr>
        <w:t>维权援助“全</w:t>
      </w:r>
      <w:r>
        <w:rPr>
          <w:rFonts w:hint="eastAsia" w:ascii="仿宋_GB2312" w:hAnsi="仿宋_GB2312" w:eastAsia="仿宋_GB2312" w:cs="仿宋_GB2312"/>
          <w:snapToGrid w:val="0"/>
          <w:color w:val="000000"/>
          <w:kern w:val="0"/>
          <w:sz w:val="32"/>
          <w:szCs w:val="32"/>
          <w:highlight w:val="none"/>
        </w:rPr>
        <w:t>市</w:t>
      </w:r>
      <w:r>
        <w:rPr>
          <w:rFonts w:hint="eastAsia" w:ascii="仿宋_GB2312" w:hAnsi="仿宋_GB2312" w:eastAsia="仿宋_GB2312" w:cs="仿宋_GB2312"/>
          <w:snapToGrid w:val="0"/>
          <w:color w:val="000000"/>
          <w:kern w:val="0"/>
          <w:sz w:val="32"/>
          <w:szCs w:val="32"/>
          <w:highlight w:val="none"/>
          <w:lang w:eastAsia="zh-Hans"/>
        </w:rPr>
        <w:t>一张网”，</w:t>
      </w:r>
      <w:r>
        <w:rPr>
          <w:rFonts w:hint="eastAsia" w:ascii="仿宋_GB2312" w:hAnsi="仿宋_GB2312" w:eastAsia="仿宋_GB2312" w:cs="仿宋_GB2312"/>
          <w:snapToGrid w:val="0"/>
          <w:color w:val="000000"/>
          <w:kern w:val="0"/>
          <w:sz w:val="32"/>
          <w:szCs w:val="32"/>
          <w:highlight w:val="none"/>
          <w:lang w:eastAsia="zh-CN"/>
        </w:rPr>
        <w:t>在已建立</w:t>
      </w:r>
      <w:r>
        <w:rPr>
          <w:rFonts w:hint="eastAsia" w:ascii="仿宋_GB2312" w:hAnsi="仿宋_GB2312" w:eastAsia="仿宋_GB2312" w:cs="仿宋_GB2312"/>
          <w:snapToGrid w:val="0"/>
          <w:color w:val="000000"/>
          <w:kern w:val="0"/>
          <w:sz w:val="32"/>
          <w:szCs w:val="32"/>
          <w:highlight w:val="none"/>
          <w:lang w:val="en-US" w:eastAsia="zh-CN"/>
        </w:rPr>
        <w:t>24家维权援助工作站的基础上进一步在条件成熟地区增设一批新的工作站。</w:t>
      </w:r>
      <w:r>
        <w:rPr>
          <w:rFonts w:hint="eastAsia" w:ascii="仿宋_GB2312" w:hAnsi="仿宋_GB2312" w:eastAsia="仿宋_GB2312" w:cs="仿宋_GB2312"/>
          <w:color w:val="000000"/>
          <w:sz w:val="32"/>
          <w:szCs w:val="32"/>
          <w:highlight w:val="none"/>
        </w:rPr>
        <w:t>开展</w:t>
      </w:r>
      <w:r>
        <w:rPr>
          <w:rFonts w:hint="eastAsia" w:ascii="仿宋_GB2312" w:hAnsi="仿宋_GB2312" w:eastAsia="仿宋_GB2312" w:cs="仿宋_GB2312"/>
          <w:color w:val="000000"/>
          <w:sz w:val="32"/>
          <w:szCs w:val="32"/>
          <w:highlight w:val="none"/>
          <w:lang w:eastAsia="zh-CN"/>
        </w:rPr>
        <w:t>维权援助</w:t>
      </w:r>
      <w:r>
        <w:rPr>
          <w:rFonts w:hint="eastAsia" w:ascii="仿宋_GB2312" w:hAnsi="仿宋_GB2312" w:eastAsia="仿宋_GB2312" w:cs="仿宋_GB2312"/>
          <w:color w:val="000000"/>
          <w:sz w:val="32"/>
          <w:szCs w:val="32"/>
          <w:highlight w:val="none"/>
        </w:rPr>
        <w:t>工作站知识产权特派员试点工作，</w:t>
      </w:r>
      <w:r>
        <w:rPr>
          <w:rFonts w:hint="eastAsia" w:ascii="仿宋_GB2312" w:hAnsi="仿宋_GB2312" w:eastAsia="仿宋_GB2312" w:cs="仿宋_GB2312"/>
          <w:snapToGrid w:val="0"/>
          <w:color w:val="000000"/>
          <w:kern w:val="0"/>
          <w:sz w:val="32"/>
          <w:szCs w:val="32"/>
          <w:highlight w:val="none"/>
          <w:lang w:eastAsia="zh-Hans"/>
        </w:rPr>
        <w:t>提高维权援助规范化、标准化水平。</w:t>
      </w:r>
      <w:r>
        <w:rPr>
          <w:rFonts w:hint="eastAsia" w:ascii="仿宋_GB2312" w:hAnsi="仿宋_GB2312" w:eastAsia="仿宋_GB2312" w:cs="仿宋_GB2312"/>
          <w:snapToGrid w:val="0"/>
          <w:color w:val="000000"/>
          <w:kern w:val="0"/>
          <w:sz w:val="32"/>
          <w:szCs w:val="32"/>
          <w:highlight w:val="none"/>
          <w:lang w:eastAsia="zh-CN"/>
        </w:rPr>
        <w:t>深化</w:t>
      </w:r>
      <w:r>
        <w:rPr>
          <w:rFonts w:hint="eastAsia" w:ascii="仿宋_GB2312" w:hAnsi="仿宋_GB2312" w:eastAsia="仿宋_GB2312" w:cs="仿宋_GB2312"/>
          <w:snapToGrid w:val="0"/>
          <w:color w:val="000000"/>
          <w:kern w:val="0"/>
          <w:sz w:val="32"/>
          <w:szCs w:val="32"/>
          <w:highlight w:val="none"/>
          <w:lang w:eastAsia="zh-Hans"/>
        </w:rPr>
        <w:t>知识产权纠纷调解</w:t>
      </w:r>
      <w:r>
        <w:rPr>
          <w:rFonts w:hint="eastAsia" w:ascii="仿宋_GB2312" w:hAnsi="仿宋_GB2312" w:eastAsia="仿宋_GB2312" w:cs="仿宋_GB2312"/>
          <w:snapToGrid w:val="0"/>
          <w:color w:val="000000"/>
          <w:kern w:val="0"/>
          <w:sz w:val="32"/>
          <w:szCs w:val="32"/>
          <w:highlight w:val="none"/>
          <w:lang w:eastAsia="zh-CN"/>
        </w:rPr>
        <w:t>工作，加快人民调解、专业调解等</w:t>
      </w:r>
      <w:r>
        <w:rPr>
          <w:rFonts w:hint="eastAsia" w:ascii="仿宋_GB2312" w:hAnsi="仿宋_GB2312" w:eastAsia="仿宋_GB2312" w:cs="仿宋_GB2312"/>
          <w:snapToGrid w:val="0"/>
          <w:color w:val="000000"/>
          <w:kern w:val="0"/>
          <w:sz w:val="32"/>
          <w:szCs w:val="32"/>
          <w:highlight w:val="none"/>
          <w:lang w:eastAsia="zh-Hans"/>
        </w:rPr>
        <w:t>组织和队伍建设，持续推进知识产权纠纷在线诉调对接工作。</w:t>
      </w:r>
    </w:p>
    <w:p>
      <w:pPr>
        <w:keepNext w:val="0"/>
        <w:keepLines w:val="0"/>
        <w:pageBreakBefore w:val="0"/>
        <w:widowControl w:val="0"/>
        <w:suppressAutoHyphens/>
        <w:kinsoku/>
        <w:wordWrap/>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napToGrid w:val="0"/>
          <w:color w:val="000000"/>
          <w:kern w:val="0"/>
          <w:sz w:val="32"/>
          <w:szCs w:val="32"/>
          <w:highlight w:val="none"/>
          <w:lang w:eastAsia="zh-Hans"/>
        </w:rPr>
      </w:pPr>
      <w:r>
        <w:rPr>
          <w:rFonts w:hint="eastAsia" w:ascii="仿宋_GB2312" w:hAnsi="仿宋_GB2312" w:eastAsia="仿宋_GB2312" w:cs="仿宋_GB2312"/>
          <w:snapToGrid w:val="0"/>
          <w:color w:val="000000"/>
          <w:kern w:val="0"/>
          <w:sz w:val="32"/>
          <w:szCs w:val="32"/>
          <w:highlight w:val="none"/>
          <w:lang w:eastAsia="zh-Hans"/>
        </w:rPr>
        <w:t>1</w:t>
      </w:r>
      <w:r>
        <w:rPr>
          <w:rFonts w:hint="eastAsia" w:ascii="仿宋_GB2312" w:hAnsi="仿宋_GB2312" w:eastAsia="仿宋_GB2312" w:cs="仿宋_GB2312"/>
          <w:snapToGrid w:val="0"/>
          <w:color w:val="000000"/>
          <w:kern w:val="0"/>
          <w:sz w:val="32"/>
          <w:szCs w:val="32"/>
          <w:highlight w:val="none"/>
          <w:lang w:val="en-US" w:eastAsia="zh-CN"/>
        </w:rPr>
        <w:t>6</w:t>
      </w:r>
      <w:r>
        <w:rPr>
          <w:rFonts w:hint="eastAsia" w:ascii="仿宋_GB2312" w:hAnsi="仿宋_GB2312" w:eastAsia="仿宋_GB2312" w:cs="仿宋_GB2312"/>
          <w:snapToGrid w:val="0"/>
          <w:color w:val="000000"/>
          <w:kern w:val="0"/>
          <w:sz w:val="32"/>
          <w:szCs w:val="32"/>
          <w:highlight w:val="none"/>
        </w:rPr>
        <w:t>.</w:t>
      </w:r>
      <w:r>
        <w:rPr>
          <w:rFonts w:hint="eastAsia" w:ascii="仿宋_GB2312" w:hAnsi="仿宋_GB2312" w:eastAsia="仿宋_GB2312" w:cs="仿宋_GB2312"/>
          <w:snapToGrid w:val="0"/>
          <w:color w:val="000000"/>
          <w:sz w:val="32"/>
          <w:szCs w:val="32"/>
          <w:highlight w:val="none"/>
        </w:rPr>
        <w:t>充分</w:t>
      </w:r>
      <w:r>
        <w:rPr>
          <w:rFonts w:hint="eastAsia" w:ascii="仿宋_GB2312" w:hAnsi="仿宋_GB2312" w:eastAsia="仿宋_GB2312" w:cs="仿宋_GB2312"/>
          <w:snapToGrid w:val="0"/>
          <w:color w:val="000000"/>
          <w:sz w:val="32"/>
          <w:szCs w:val="32"/>
          <w:highlight w:val="none"/>
          <w:lang w:eastAsia="zh-Hans"/>
        </w:rPr>
        <w:t>发挥</w:t>
      </w:r>
      <w:r>
        <w:rPr>
          <w:rFonts w:hint="eastAsia" w:ascii="仿宋_GB2312" w:hAnsi="仿宋_GB2312" w:eastAsia="仿宋_GB2312" w:cs="仿宋_GB2312"/>
          <w:snapToGrid w:val="0"/>
          <w:color w:val="000000"/>
          <w:sz w:val="32"/>
          <w:szCs w:val="32"/>
          <w:highlight w:val="none"/>
          <w:lang w:eastAsia="zh-CN"/>
        </w:rPr>
        <w:t>创新</w:t>
      </w:r>
      <w:r>
        <w:rPr>
          <w:rFonts w:hint="eastAsia" w:ascii="仿宋_GB2312" w:hAnsi="仿宋_GB2312" w:eastAsia="仿宋_GB2312" w:cs="仿宋_GB2312"/>
          <w:snapToGrid w:val="0"/>
          <w:color w:val="000000"/>
          <w:sz w:val="32"/>
          <w:szCs w:val="32"/>
          <w:highlight w:val="none"/>
          <w:lang w:eastAsia="zh-Hans"/>
        </w:rPr>
        <w:t>试点示范引领带动作用。</w:t>
      </w:r>
      <w:r>
        <w:rPr>
          <w:rFonts w:hint="eastAsia" w:ascii="仿宋_GB2312" w:hAnsi="仿宋_GB2312" w:eastAsia="仿宋_GB2312" w:cs="仿宋_GB2312"/>
          <w:snapToGrid w:val="0"/>
          <w:color w:val="000000"/>
          <w:sz w:val="32"/>
          <w:szCs w:val="32"/>
          <w:highlight w:val="none"/>
          <w:lang w:eastAsia="zh-CN"/>
        </w:rPr>
        <w:t>积极</w:t>
      </w:r>
      <w:r>
        <w:rPr>
          <w:rFonts w:hint="eastAsia" w:ascii="仿宋_GB2312" w:hAnsi="仿宋_GB2312" w:eastAsia="仿宋_GB2312" w:cs="仿宋_GB2312"/>
          <w:snapToGrid w:val="0"/>
          <w:color w:val="000000"/>
          <w:sz w:val="32"/>
          <w:szCs w:val="32"/>
          <w:highlight w:val="none"/>
          <w:lang w:eastAsia="zh-Hans"/>
        </w:rPr>
        <w:t>创建国家知识产权保护示范区</w:t>
      </w:r>
      <w:r>
        <w:rPr>
          <w:rFonts w:hint="eastAsia" w:ascii="仿宋_GB2312" w:hAnsi="仿宋_GB2312" w:eastAsia="仿宋_GB2312" w:cs="仿宋_GB2312"/>
          <w:snapToGrid w:val="0"/>
          <w:color w:val="000000"/>
          <w:sz w:val="32"/>
          <w:szCs w:val="32"/>
          <w:highlight w:val="none"/>
          <w:lang w:eastAsia="zh-CN"/>
        </w:rPr>
        <w:t>和</w:t>
      </w:r>
      <w:r>
        <w:rPr>
          <w:rFonts w:hint="eastAsia" w:ascii="仿宋_GB2312" w:hAnsi="仿宋_GB2312" w:eastAsia="仿宋_GB2312" w:cs="仿宋_GB2312"/>
          <w:snapToGrid w:val="0"/>
          <w:color w:val="000000"/>
          <w:sz w:val="32"/>
          <w:szCs w:val="32"/>
          <w:highlight w:val="none"/>
          <w:lang w:eastAsia="zh-Hans"/>
        </w:rPr>
        <w:t>国家地理标志产品保护示范区</w:t>
      </w:r>
      <w:r>
        <w:rPr>
          <w:rFonts w:hint="eastAsia" w:ascii="仿宋_GB2312" w:hAnsi="仿宋_GB2312" w:eastAsia="仿宋_GB2312" w:cs="仿宋_GB2312"/>
          <w:snapToGrid w:val="0"/>
          <w:color w:val="000000"/>
          <w:sz w:val="32"/>
          <w:szCs w:val="32"/>
          <w:highlight w:val="none"/>
          <w:lang w:eastAsia="zh-CN"/>
        </w:rPr>
        <w:t>，着手开展上海市</w:t>
      </w:r>
      <w:r>
        <w:rPr>
          <w:rFonts w:hint="eastAsia" w:ascii="仿宋_GB2312" w:hAnsi="仿宋_GB2312" w:eastAsia="仿宋_GB2312" w:cs="仿宋_GB2312"/>
          <w:snapToGrid w:val="0"/>
          <w:color w:val="000000"/>
          <w:sz w:val="32"/>
          <w:szCs w:val="32"/>
          <w:highlight w:val="none"/>
        </w:rPr>
        <w:t>知识产权</w:t>
      </w:r>
      <w:r>
        <w:rPr>
          <w:rFonts w:hint="eastAsia" w:ascii="仿宋_GB2312" w:hAnsi="仿宋_GB2312" w:eastAsia="仿宋_GB2312" w:cs="仿宋_GB2312"/>
          <w:snapToGrid w:val="0"/>
          <w:color w:val="000000"/>
          <w:sz w:val="32"/>
          <w:szCs w:val="32"/>
          <w:highlight w:val="none"/>
          <w:lang w:eastAsia="zh-Hans"/>
        </w:rPr>
        <w:t>保护示范区</w:t>
      </w:r>
      <w:r>
        <w:rPr>
          <w:rFonts w:hint="eastAsia" w:ascii="仿宋_GB2312" w:hAnsi="仿宋_GB2312" w:eastAsia="仿宋_GB2312" w:cs="仿宋_GB2312"/>
          <w:snapToGrid w:val="0"/>
          <w:color w:val="000000"/>
          <w:sz w:val="32"/>
          <w:szCs w:val="32"/>
          <w:highlight w:val="none"/>
          <w:lang w:eastAsia="zh-CN"/>
        </w:rPr>
        <w:t>建设工作</w:t>
      </w:r>
      <w:r>
        <w:rPr>
          <w:rFonts w:hint="eastAsia" w:ascii="仿宋_GB2312" w:hAnsi="仿宋_GB2312" w:eastAsia="仿宋_GB2312" w:cs="仿宋_GB2312"/>
          <w:snapToGrid w:val="0"/>
          <w:color w:val="000000"/>
          <w:sz w:val="32"/>
          <w:szCs w:val="32"/>
          <w:highlight w:val="none"/>
        </w:rPr>
        <w:t>，</w:t>
      </w:r>
      <w:r>
        <w:rPr>
          <w:rFonts w:hint="eastAsia" w:ascii="仿宋_GB2312" w:hAnsi="仿宋_GB2312" w:eastAsia="仿宋_GB2312" w:cs="仿宋_GB2312"/>
          <w:snapToGrid w:val="0"/>
          <w:color w:val="000000"/>
          <w:sz w:val="32"/>
          <w:szCs w:val="32"/>
          <w:highlight w:val="none"/>
          <w:lang w:eastAsia="zh-CN"/>
        </w:rPr>
        <w:t>打造</w:t>
      </w:r>
      <w:r>
        <w:rPr>
          <w:rFonts w:hint="eastAsia" w:ascii="仿宋_GB2312" w:hAnsi="仿宋_GB2312" w:eastAsia="仿宋_GB2312" w:cs="仿宋_GB2312"/>
          <w:snapToGrid w:val="0"/>
          <w:color w:val="000000"/>
          <w:sz w:val="32"/>
          <w:szCs w:val="32"/>
          <w:highlight w:val="none"/>
          <w:lang w:eastAsia="zh-Hans"/>
        </w:rPr>
        <w:t>一批示范</w:t>
      </w:r>
      <w:r>
        <w:rPr>
          <w:rFonts w:hint="eastAsia" w:ascii="仿宋_GB2312" w:hAnsi="仿宋_GB2312" w:eastAsia="仿宋_GB2312" w:cs="仿宋_GB2312"/>
          <w:snapToGrid w:val="0"/>
          <w:color w:val="000000"/>
          <w:sz w:val="32"/>
          <w:szCs w:val="32"/>
          <w:highlight w:val="none"/>
          <w:lang w:eastAsia="zh-CN"/>
        </w:rPr>
        <w:t>引领地区</w:t>
      </w:r>
      <w:r>
        <w:rPr>
          <w:rFonts w:hint="eastAsia" w:ascii="仿宋_GB2312" w:hAnsi="仿宋_GB2312" w:eastAsia="仿宋_GB2312" w:cs="仿宋_GB2312"/>
          <w:snapToGrid w:val="0"/>
          <w:color w:val="000000"/>
          <w:sz w:val="32"/>
          <w:szCs w:val="32"/>
          <w:highlight w:val="none"/>
          <w:lang w:eastAsia="zh-Hans"/>
        </w:rPr>
        <w:t>。</w:t>
      </w:r>
      <w:r>
        <w:rPr>
          <w:rFonts w:hint="eastAsia" w:ascii="仿宋_GB2312" w:hAnsi="仿宋_GB2312" w:eastAsia="仿宋_GB2312" w:cs="仿宋_GB2312"/>
          <w:snapToGrid w:val="0"/>
          <w:color w:val="000000"/>
          <w:kern w:val="0"/>
          <w:sz w:val="32"/>
          <w:szCs w:val="32"/>
          <w:highlight w:val="none"/>
          <w:lang w:eastAsia="zh-Hans"/>
        </w:rPr>
        <w:t>探索运用互联网、大数据、云计算、人工智能、区块链等新技术新应用，深化知识产权保护“一件事”集成服务改革项目建设</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napToGrid w:val="0"/>
          <w:color w:val="000000"/>
          <w:kern w:val="0"/>
          <w:sz w:val="32"/>
          <w:szCs w:val="32"/>
          <w:highlight w:val="none"/>
          <w:lang w:eastAsia="zh-Hans"/>
        </w:rPr>
        <w:t>大力推动知识产权保护数字化治理模式创新</w:t>
      </w:r>
      <w:r>
        <w:rPr>
          <w:rFonts w:hint="eastAsia" w:ascii="仿宋_GB2312" w:hAnsi="仿宋_GB2312" w:eastAsia="仿宋_GB2312" w:cs="仿宋_GB2312"/>
          <w:snapToGrid w:val="0"/>
          <w:color w:val="000000"/>
          <w:kern w:val="0"/>
          <w:sz w:val="32"/>
          <w:szCs w:val="32"/>
          <w:highlight w:val="none"/>
        </w:rPr>
        <w:t>。</w:t>
      </w:r>
      <w:r>
        <w:rPr>
          <w:rFonts w:hint="eastAsia" w:ascii="仿宋_GB2312" w:hAnsi="仿宋_GB2312" w:eastAsia="仿宋_GB2312" w:cs="仿宋_GB2312"/>
          <w:snapToGrid w:val="0"/>
          <w:color w:val="000000"/>
          <w:kern w:val="0"/>
          <w:sz w:val="32"/>
          <w:szCs w:val="32"/>
          <w:highlight w:val="none"/>
          <w:lang w:eastAsia="zh-Hans"/>
        </w:rPr>
        <w:t>探索建立智慧、高效、协同的数字化知识产权保护体系。</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黑体" w:hAnsi="黑体" w:eastAsia="黑体" w:cs="黑体"/>
          <w:snapToGrid w:val="0"/>
          <w:color w:val="000000"/>
          <w:kern w:val="0"/>
          <w:sz w:val="32"/>
          <w:szCs w:val="32"/>
          <w:highlight w:val="none"/>
          <w:lang w:val="en-US" w:eastAsia="zh-Hans" w:bidi="ar-SA"/>
        </w:rPr>
      </w:pPr>
      <w:r>
        <w:rPr>
          <w:rFonts w:hint="eastAsia" w:ascii="黑体" w:hAnsi="黑体" w:eastAsia="黑体" w:cs="黑体"/>
          <w:snapToGrid w:val="0"/>
          <w:color w:val="000000"/>
          <w:kern w:val="0"/>
          <w:sz w:val="32"/>
          <w:szCs w:val="32"/>
          <w:highlight w:val="none"/>
          <w:lang w:val="en-US" w:eastAsia="zh-Hans" w:bidi="ar-SA"/>
        </w:rPr>
        <w:t>三</w:t>
      </w:r>
      <w:r>
        <w:rPr>
          <w:rFonts w:ascii="黑体" w:hAnsi="黑体" w:eastAsia="黑体" w:cs="黑体"/>
          <w:snapToGrid w:val="0"/>
          <w:color w:val="000000"/>
          <w:kern w:val="0"/>
          <w:sz w:val="32"/>
          <w:szCs w:val="32"/>
          <w:highlight w:val="none"/>
          <w:lang w:val="en-US" w:eastAsia="zh-Hans" w:bidi="ar-SA"/>
        </w:rPr>
        <w:t>、</w:t>
      </w:r>
      <w:r>
        <w:rPr>
          <w:rFonts w:hint="eastAsia" w:ascii="黑体" w:hAnsi="黑体" w:eastAsia="黑体" w:cs="黑体"/>
          <w:snapToGrid w:val="0"/>
          <w:color w:val="000000"/>
          <w:kern w:val="0"/>
          <w:sz w:val="32"/>
          <w:szCs w:val="32"/>
          <w:highlight w:val="none"/>
          <w:lang w:val="en-US" w:eastAsia="zh-Hans" w:bidi="ar-SA"/>
        </w:rPr>
        <w:t>工作要求</w:t>
      </w:r>
    </w:p>
    <w:p>
      <w:pPr>
        <w:keepNext w:val="0"/>
        <w:keepLines w:val="0"/>
        <w:pageBreakBefore w:val="0"/>
        <w:widowControl w:val="0"/>
        <w:tabs>
          <w:tab w:val="left" w:pos="790"/>
          <w:tab w:val="left" w:pos="1264"/>
        </w:tabs>
        <w:suppressAutoHyphens/>
        <w:kinsoku/>
        <w:wordWrap/>
        <w:overflowPunct w:val="0"/>
        <w:topLinePunct w:val="0"/>
        <w:autoSpaceDE/>
        <w:autoSpaceDN/>
        <w:bidi w:val="0"/>
        <w:adjustRightInd w:val="0"/>
        <w:snapToGrid w:val="0"/>
        <w:spacing w:line="600" w:lineRule="exact"/>
        <w:ind w:firstLine="627" w:firstLineChars="196"/>
        <w:textAlignment w:val="auto"/>
        <w:rPr>
          <w:rFonts w:hint="eastAsia" w:ascii="楷体_GB2312" w:hAnsi="楷体_GB2312" w:eastAsia="楷体_GB2312" w:cs="楷体_GB2312"/>
          <w:snapToGrid w:val="0"/>
          <w:color w:val="000000"/>
          <w:kern w:val="0"/>
          <w:sz w:val="32"/>
          <w:szCs w:val="32"/>
          <w:highlight w:val="none"/>
          <w:lang w:eastAsia="zh-Hans"/>
        </w:rPr>
      </w:pPr>
      <w:r>
        <w:rPr>
          <w:rFonts w:hint="eastAsia" w:ascii="楷体_GB2312" w:hAnsi="楷体_GB2312" w:eastAsia="楷体_GB2312" w:cs="楷体_GB2312"/>
          <w:snapToGrid w:val="0"/>
          <w:color w:val="000000"/>
          <w:kern w:val="0"/>
          <w:sz w:val="32"/>
          <w:szCs w:val="32"/>
          <w:highlight w:val="none"/>
          <w:lang w:eastAsia="zh-Hans"/>
        </w:rPr>
        <w:t>（一）</w:t>
      </w:r>
      <w:r>
        <w:rPr>
          <w:rFonts w:hint="eastAsia" w:ascii="楷体_GB2312" w:hAnsi="楷体_GB2312" w:eastAsia="楷体_GB2312" w:cs="楷体_GB2312"/>
          <w:snapToGrid w:val="0"/>
          <w:color w:val="000000"/>
          <w:kern w:val="0"/>
          <w:sz w:val="32"/>
          <w:szCs w:val="32"/>
          <w:highlight w:val="none"/>
        </w:rPr>
        <w:t>提高</w:t>
      </w:r>
      <w:r>
        <w:rPr>
          <w:rFonts w:hint="eastAsia" w:ascii="楷体_GB2312" w:hAnsi="楷体_GB2312" w:eastAsia="楷体_GB2312" w:cs="楷体_GB2312"/>
          <w:snapToGrid w:val="0"/>
          <w:color w:val="000000"/>
          <w:kern w:val="0"/>
          <w:sz w:val="32"/>
          <w:szCs w:val="32"/>
          <w:highlight w:val="none"/>
          <w:lang w:eastAsia="zh-Hans"/>
        </w:rPr>
        <w:t>思想认识</w:t>
      </w:r>
      <w:r>
        <w:rPr>
          <w:rFonts w:ascii="楷体_GB2312" w:hAnsi="楷体_GB2312" w:eastAsia="楷体_GB2312" w:cs="楷体_GB2312"/>
          <w:snapToGrid w:val="0"/>
          <w:color w:val="000000"/>
          <w:kern w:val="0"/>
          <w:sz w:val="32"/>
          <w:szCs w:val="32"/>
          <w:highlight w:val="none"/>
          <w:lang w:eastAsia="zh-Hans"/>
        </w:rPr>
        <w:t>，</w:t>
      </w:r>
      <w:r>
        <w:rPr>
          <w:rFonts w:hint="eastAsia" w:ascii="楷体_GB2312" w:hAnsi="楷体_GB2312" w:eastAsia="楷体_GB2312" w:cs="楷体_GB2312"/>
          <w:snapToGrid w:val="0"/>
          <w:color w:val="000000"/>
          <w:kern w:val="0"/>
          <w:sz w:val="32"/>
          <w:szCs w:val="32"/>
          <w:highlight w:val="none"/>
          <w:lang w:eastAsia="zh-Hans"/>
        </w:rPr>
        <w:t>强</w:t>
      </w:r>
      <w:r>
        <w:rPr>
          <w:rFonts w:hint="eastAsia" w:ascii="楷体_GB2312" w:hAnsi="楷体_GB2312" w:eastAsia="楷体_GB2312" w:cs="楷体_GB2312"/>
          <w:snapToGrid w:val="0"/>
          <w:color w:val="000000"/>
          <w:kern w:val="0"/>
          <w:sz w:val="32"/>
          <w:szCs w:val="32"/>
          <w:highlight w:val="none"/>
        </w:rPr>
        <w:t>化</w:t>
      </w:r>
      <w:r>
        <w:rPr>
          <w:rFonts w:hint="eastAsia" w:ascii="楷体_GB2312" w:hAnsi="楷体_GB2312" w:eastAsia="楷体_GB2312" w:cs="楷体_GB2312"/>
          <w:snapToGrid w:val="0"/>
          <w:color w:val="000000"/>
          <w:kern w:val="0"/>
          <w:sz w:val="32"/>
          <w:szCs w:val="32"/>
          <w:highlight w:val="none"/>
          <w:lang w:eastAsia="zh-Hans"/>
        </w:rPr>
        <w:t>组织领导</w:t>
      </w:r>
    </w:p>
    <w:p>
      <w:pPr>
        <w:keepNext w:val="0"/>
        <w:keepLines w:val="0"/>
        <w:pageBreakBefore w:val="0"/>
        <w:widowControl w:val="0"/>
        <w:tabs>
          <w:tab w:val="left" w:pos="790"/>
          <w:tab w:val="left" w:pos="1264"/>
        </w:tabs>
        <w:suppressAutoHyphens/>
        <w:kinsoku/>
        <w:wordWrap/>
        <w:overflowPunct w:val="0"/>
        <w:topLinePunct w:val="0"/>
        <w:autoSpaceDE/>
        <w:autoSpaceDN/>
        <w:bidi w:val="0"/>
        <w:adjustRightInd w:val="0"/>
        <w:snapToGrid w:val="0"/>
        <w:spacing w:line="600" w:lineRule="exact"/>
        <w:ind w:firstLine="627" w:firstLineChars="196"/>
        <w:textAlignment w:val="auto"/>
        <w:rPr>
          <w:rFonts w:hint="eastAsia" w:ascii="仿宋_GB2312" w:hAnsi="仿宋_GB2312" w:eastAsia="仿宋_GB2312" w:cs="仿宋_GB2312"/>
          <w:color w:val="000000"/>
          <w:kern w:val="0"/>
          <w:sz w:val="32"/>
          <w:szCs w:val="32"/>
          <w:highlight w:val="none"/>
          <w:lang w:eastAsia="zh-Hans" w:bidi="ar"/>
        </w:rPr>
      </w:pPr>
      <w:r>
        <w:rPr>
          <w:rFonts w:hint="eastAsia" w:ascii="仿宋_GB2312" w:hAnsi="仿宋_GB2312" w:eastAsia="仿宋_GB2312" w:cs="仿宋_GB2312"/>
          <w:color w:val="000000"/>
          <w:sz w:val="32"/>
          <w:szCs w:val="32"/>
          <w:highlight w:val="none"/>
        </w:rPr>
        <w:t>各单位要高度重视知识产权行政保护工作，精心组织谋划，结合本地区知识产权实际制定</w:t>
      </w:r>
      <w:r>
        <w:rPr>
          <w:rFonts w:hint="eastAsia" w:ascii="仿宋_GB2312" w:hAnsi="仿宋_GB2312" w:eastAsia="仿宋_GB2312" w:cs="仿宋_GB2312"/>
          <w:color w:val="000000"/>
          <w:sz w:val="32"/>
          <w:szCs w:val="32"/>
          <w:highlight w:val="none"/>
          <w:lang w:eastAsia="zh-CN"/>
        </w:rPr>
        <w:t>具体工作计划</w:t>
      </w:r>
      <w:r>
        <w:rPr>
          <w:rFonts w:hint="eastAsia" w:ascii="仿宋_GB2312" w:hAnsi="仿宋_GB2312" w:eastAsia="仿宋_GB2312" w:cs="仿宋_GB2312"/>
          <w:color w:val="000000"/>
          <w:sz w:val="32"/>
          <w:szCs w:val="32"/>
          <w:highlight w:val="none"/>
        </w:rPr>
        <w:t>，</w:t>
      </w:r>
      <w:r>
        <w:rPr>
          <w:rFonts w:ascii="仿宋_GB2312" w:hAnsi="仿宋_GB2312" w:eastAsia="仿宋_GB2312" w:cs="仿宋_GB2312"/>
          <w:color w:val="000000"/>
          <w:sz w:val="32"/>
          <w:szCs w:val="32"/>
          <w:highlight w:val="none"/>
        </w:rPr>
        <w:t>细化工作措施，建立工作台账，明确责任部门、责任人，保障各项任务落实到位。</w:t>
      </w:r>
      <w:r>
        <w:rPr>
          <w:rFonts w:hint="eastAsia" w:ascii="仿宋_GB2312" w:hAnsi="宋体" w:eastAsia="仿宋_GB2312" w:cs="宋体"/>
          <w:color w:val="000000"/>
          <w:kern w:val="0"/>
          <w:sz w:val="32"/>
          <w:szCs w:val="32"/>
          <w:highlight w:val="none"/>
        </w:rPr>
        <w:t>工作中遇到的</w:t>
      </w:r>
      <w:r>
        <w:rPr>
          <w:rFonts w:hint="eastAsia" w:ascii="仿宋_GB2312" w:hAnsi="Times New Roman" w:eastAsia="仿宋_GB2312"/>
          <w:snapToGrid w:val="0"/>
          <w:color w:val="000000"/>
          <w:kern w:val="0"/>
          <w:sz w:val="32"/>
          <w:szCs w:val="32"/>
          <w:highlight w:val="none"/>
        </w:rPr>
        <w:t>重大问题或重要情况要及时按程序向市知识产权局和区委、区政府请示报告。市知识产权局将适时对各地区知识产权行政保护工作推进情况进行督导检查，相关结果情况将纳入年度</w:t>
      </w:r>
      <w:r>
        <w:rPr>
          <w:rFonts w:hint="eastAsia" w:ascii="仿宋_GB2312" w:hAnsi="仿宋" w:eastAsia="仿宋_GB2312" w:cs="仿宋_GB2312"/>
          <w:color w:val="000000"/>
          <w:sz w:val="32"/>
          <w:szCs w:val="32"/>
          <w:highlight w:val="none"/>
        </w:rPr>
        <w:t>市管党政领导班子</w:t>
      </w:r>
      <w:r>
        <w:rPr>
          <w:rFonts w:hint="eastAsia" w:ascii="仿宋_GB2312" w:hAnsi="Times New Roman" w:eastAsia="仿宋_GB2312"/>
          <w:snapToGrid w:val="0"/>
          <w:color w:val="000000"/>
          <w:kern w:val="0"/>
          <w:sz w:val="32"/>
          <w:szCs w:val="32"/>
          <w:highlight w:val="none"/>
        </w:rPr>
        <w:t>知识产权</w:t>
      </w:r>
      <w:r>
        <w:rPr>
          <w:rFonts w:hint="eastAsia" w:ascii="仿宋_GB2312" w:hAnsi="仿宋_GB2312" w:eastAsia="仿宋_GB2312" w:cs="仿宋_GB2312"/>
          <w:snapToGrid w:val="0"/>
          <w:color w:val="000000"/>
          <w:sz w:val="32"/>
          <w:szCs w:val="32"/>
          <w:highlight w:val="none"/>
        </w:rPr>
        <w:t>保护水平</w:t>
      </w:r>
      <w:r>
        <w:rPr>
          <w:rFonts w:hint="eastAsia" w:ascii="仿宋_GB2312" w:hAnsi="Times New Roman" w:eastAsia="仿宋_GB2312"/>
          <w:snapToGrid w:val="0"/>
          <w:color w:val="000000"/>
          <w:kern w:val="0"/>
          <w:sz w:val="32"/>
          <w:szCs w:val="32"/>
          <w:highlight w:val="none"/>
        </w:rPr>
        <w:t>绩效考核工作评价范围</w:t>
      </w:r>
      <w:r>
        <w:rPr>
          <w:rFonts w:hint="eastAsia" w:ascii="Times New Roman" w:hAnsi="Times New Roman" w:eastAsia="仿宋_GB2312"/>
          <w:color w:val="000000"/>
          <w:sz w:val="32"/>
          <w:szCs w:val="32"/>
          <w:highlight w:val="none"/>
        </w:rPr>
        <w:t>，并</w:t>
      </w:r>
      <w:r>
        <w:rPr>
          <w:rFonts w:hint="eastAsia" w:ascii="仿宋_GB2312" w:hAnsi="Times New Roman" w:eastAsia="仿宋_GB2312"/>
          <w:snapToGrid w:val="0"/>
          <w:color w:val="000000"/>
          <w:kern w:val="0"/>
          <w:sz w:val="32"/>
          <w:szCs w:val="32"/>
          <w:highlight w:val="none"/>
        </w:rPr>
        <w:t>对于工作成效显著的单位和成绩突出的人员予以通报表扬，对于行政保护不力</w:t>
      </w:r>
      <w:r>
        <w:rPr>
          <w:rFonts w:hint="eastAsia" w:ascii="仿宋_GB2312" w:hAnsi="Times New Roman" w:eastAsia="仿宋_GB2312"/>
          <w:snapToGrid w:val="0"/>
          <w:color w:val="000000"/>
          <w:kern w:val="0"/>
          <w:sz w:val="32"/>
          <w:szCs w:val="32"/>
          <w:highlight w:val="none"/>
          <w:lang w:eastAsia="zh-CN"/>
        </w:rPr>
        <w:t>、</w:t>
      </w:r>
      <w:r>
        <w:rPr>
          <w:rFonts w:hint="eastAsia" w:ascii="仿宋_GB2312" w:hAnsi="Times New Roman" w:eastAsia="仿宋_GB2312"/>
          <w:snapToGrid w:val="0"/>
          <w:color w:val="000000"/>
          <w:kern w:val="0"/>
          <w:sz w:val="32"/>
          <w:szCs w:val="32"/>
          <w:highlight w:val="none"/>
        </w:rPr>
        <w:t>侵权问题多发的地区和单位予以通报批评，并通过约谈、专门督导等方式督促整改。</w:t>
      </w:r>
    </w:p>
    <w:p>
      <w:pPr>
        <w:keepNext w:val="0"/>
        <w:keepLines w:val="0"/>
        <w:pageBreakBefore w:val="0"/>
        <w:widowControl w:val="0"/>
        <w:numPr>
          <w:ilvl w:val="0"/>
          <w:numId w:val="3"/>
        </w:numPr>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楷体_GB2312" w:hAnsi="楷体_GB2312" w:eastAsia="楷体_GB2312" w:cs="楷体_GB2312"/>
          <w:snapToGrid w:val="0"/>
          <w:color w:val="000000"/>
          <w:kern w:val="0"/>
          <w:sz w:val="32"/>
          <w:szCs w:val="32"/>
          <w:highlight w:val="none"/>
          <w:lang w:val="en-US" w:eastAsia="zh-CN" w:bidi="ar-SA"/>
        </w:rPr>
      </w:pPr>
      <w:r>
        <w:rPr>
          <w:rFonts w:hint="eastAsia" w:ascii="楷体_GB2312" w:hAnsi="楷体_GB2312" w:eastAsia="楷体_GB2312" w:cs="楷体_GB2312"/>
          <w:snapToGrid w:val="0"/>
          <w:color w:val="000000"/>
          <w:kern w:val="0"/>
          <w:sz w:val="32"/>
          <w:szCs w:val="32"/>
          <w:highlight w:val="none"/>
          <w:lang w:val="en-US" w:eastAsia="zh-Hans" w:bidi="ar-SA"/>
        </w:rPr>
        <w:t>加强业务指导</w:t>
      </w:r>
      <w:r>
        <w:rPr>
          <w:rFonts w:hint="eastAsia" w:ascii="楷体_GB2312" w:hAnsi="楷体_GB2312" w:eastAsia="楷体_GB2312" w:cs="楷体_GB2312"/>
          <w:snapToGrid w:val="0"/>
          <w:color w:val="000000"/>
          <w:kern w:val="0"/>
          <w:sz w:val="32"/>
          <w:szCs w:val="32"/>
          <w:highlight w:val="none"/>
          <w:lang w:val="en-US" w:eastAsia="zh-CN" w:bidi="ar-SA"/>
        </w:rPr>
        <w:t>，规范办案程序</w:t>
      </w:r>
    </w:p>
    <w:p>
      <w:pPr>
        <w:keepNext w:val="0"/>
        <w:keepLines w:val="0"/>
        <w:pageBreakBefore w:val="0"/>
        <w:widowControl w:val="0"/>
        <w:kinsoku/>
        <w:wordWrap/>
        <w:topLinePunct w:val="0"/>
        <w:autoSpaceDE/>
        <w:autoSpaceDN/>
        <w:bidi w:val="0"/>
        <w:snapToGrid w:val="0"/>
        <w:spacing w:before="0" w:beforeAutospacing="0" w:after="0" w:afterAutospacing="0" w:line="600" w:lineRule="exact"/>
        <w:ind w:firstLine="640" w:firstLineChars="200"/>
        <w:jc w:val="both"/>
        <w:textAlignment w:val="auto"/>
        <w:rPr>
          <w:rFonts w:ascii="仿宋_GB2312" w:hAnsi="Times New Roman" w:eastAsia="仿宋_GB2312" w:cs="Times New Roman"/>
          <w:snapToGrid w:val="0"/>
          <w:color w:val="000000"/>
          <w:kern w:val="0"/>
          <w:sz w:val="32"/>
          <w:szCs w:val="32"/>
          <w:highlight w:val="none"/>
          <w:lang w:val="en-US" w:eastAsia="zh-CN" w:bidi="ar-SA"/>
        </w:rPr>
      </w:pPr>
      <w:r>
        <w:rPr>
          <w:rFonts w:hint="eastAsia" w:ascii="仿宋_GB2312" w:hAnsi="Times New Roman" w:eastAsia="仿宋_GB2312" w:cs="Times New Roman"/>
          <w:snapToGrid w:val="0"/>
          <w:color w:val="000000"/>
          <w:kern w:val="0"/>
          <w:sz w:val="32"/>
          <w:szCs w:val="32"/>
          <w:highlight w:val="none"/>
          <w:lang w:val="en-US" w:eastAsia="zh-CN" w:bidi="ar-SA"/>
        </w:rPr>
        <w:t>各单位要</w:t>
      </w:r>
      <w:r>
        <w:rPr>
          <w:rFonts w:ascii="仿宋_GB2312" w:hAnsi="Times New Roman" w:eastAsia="仿宋_GB2312" w:cs="Times New Roman"/>
          <w:snapToGrid w:val="0"/>
          <w:color w:val="000000"/>
          <w:kern w:val="0"/>
          <w:sz w:val="32"/>
          <w:szCs w:val="32"/>
          <w:highlight w:val="none"/>
          <w:lang w:val="en-US" w:eastAsia="zh-CN" w:bidi="ar-SA"/>
        </w:rPr>
        <w:t>按照</w:t>
      </w:r>
      <w:r>
        <w:rPr>
          <w:rFonts w:hint="eastAsia" w:ascii="仿宋_GB2312" w:hAnsi="Times New Roman" w:eastAsia="仿宋_GB2312" w:cs="Times New Roman"/>
          <w:snapToGrid w:val="0"/>
          <w:color w:val="000000"/>
          <w:kern w:val="0"/>
          <w:sz w:val="32"/>
          <w:szCs w:val="32"/>
          <w:highlight w:val="none"/>
          <w:lang w:val="en-US" w:eastAsia="zh-CN" w:bidi="ar-SA"/>
        </w:rPr>
        <w:t>知识产权</w:t>
      </w:r>
      <w:r>
        <w:rPr>
          <w:rFonts w:ascii="仿宋_GB2312" w:hAnsi="Times New Roman" w:eastAsia="仿宋_GB2312" w:cs="Times New Roman"/>
          <w:snapToGrid w:val="0"/>
          <w:color w:val="000000"/>
          <w:kern w:val="0"/>
          <w:sz w:val="32"/>
          <w:szCs w:val="32"/>
          <w:highlight w:val="none"/>
          <w:lang w:val="en-US" w:eastAsia="zh-CN" w:bidi="ar-SA"/>
        </w:rPr>
        <w:t>行政保护案件请示办理工作相关规定，</w:t>
      </w:r>
      <w:r>
        <w:rPr>
          <w:rFonts w:hint="eastAsia" w:ascii="仿宋_GB2312" w:hAnsi="Times New Roman" w:eastAsia="仿宋_GB2312" w:cs="Times New Roman"/>
          <w:snapToGrid w:val="0"/>
          <w:color w:val="000000"/>
          <w:kern w:val="0"/>
          <w:sz w:val="32"/>
          <w:szCs w:val="32"/>
          <w:highlight w:val="none"/>
          <w:lang w:val="en-US" w:eastAsia="zh-CN" w:bidi="ar-SA"/>
        </w:rPr>
        <w:t>做好</w:t>
      </w:r>
      <w:r>
        <w:rPr>
          <w:rFonts w:ascii="仿宋_GB2312" w:hAnsi="Times New Roman" w:eastAsia="仿宋_GB2312" w:cs="Times New Roman"/>
          <w:snapToGrid w:val="0"/>
          <w:color w:val="000000"/>
          <w:kern w:val="0"/>
          <w:sz w:val="32"/>
          <w:szCs w:val="32"/>
          <w:highlight w:val="none"/>
          <w:lang w:val="en-US" w:eastAsia="zh-CN" w:bidi="ar-SA"/>
        </w:rPr>
        <w:t>疑难案件请示</w:t>
      </w:r>
      <w:r>
        <w:rPr>
          <w:rFonts w:hint="eastAsia" w:ascii="仿宋_GB2312" w:hAnsi="Times New Roman" w:eastAsia="仿宋_GB2312" w:cs="Times New Roman"/>
          <w:snapToGrid w:val="0"/>
          <w:color w:val="000000"/>
          <w:kern w:val="0"/>
          <w:sz w:val="32"/>
          <w:szCs w:val="32"/>
          <w:highlight w:val="none"/>
          <w:lang w:val="en-US" w:eastAsia="zh-CN" w:bidi="ar-SA"/>
        </w:rPr>
        <w:t>工作；对具有重大影响的案件，应及时上报局长办公会予以审议。市知识产权局要健全执法业务分级指导工作体系，及时指导和批复基层业务请示问题；创新方式持续开展年度知识产权行政保护案卷评查工作，以评促优，不断实现案件“质”的提升；</w:t>
      </w:r>
      <w:r>
        <w:rPr>
          <w:rFonts w:ascii="仿宋_GB2312" w:hAnsi="Times New Roman" w:eastAsia="仿宋_GB2312" w:cs="Times New Roman"/>
          <w:snapToGrid w:val="0"/>
          <w:color w:val="000000"/>
          <w:kern w:val="0"/>
          <w:sz w:val="32"/>
          <w:szCs w:val="32"/>
          <w:highlight w:val="none"/>
          <w:lang w:val="en-US" w:eastAsia="zh-CN" w:bidi="ar-SA"/>
        </w:rPr>
        <w:t>积极做好年度知识产权行政保护典型案例和指导案例的遴选报送和评选发布工作。</w:t>
      </w:r>
    </w:p>
    <w:p>
      <w:pPr>
        <w:keepNext w:val="0"/>
        <w:keepLines w:val="0"/>
        <w:pageBreakBefore w:val="0"/>
        <w:widowControl w:val="0"/>
        <w:numPr>
          <w:ilvl w:val="0"/>
          <w:numId w:val="3"/>
        </w:numPr>
        <w:kinsoku/>
        <w:wordWrap/>
        <w:topLinePunct w:val="0"/>
        <w:autoSpaceDE/>
        <w:autoSpaceDN/>
        <w:bidi w:val="0"/>
        <w:snapToGrid w:val="0"/>
        <w:spacing w:before="0" w:beforeAutospacing="0" w:after="0" w:afterAutospacing="0" w:line="600" w:lineRule="exact"/>
        <w:ind w:firstLine="640" w:firstLineChars="200"/>
        <w:jc w:val="both"/>
        <w:textAlignment w:val="auto"/>
        <w:rPr>
          <w:rFonts w:hint="eastAsia" w:ascii="楷体_GB2312" w:hAnsi="楷体_GB2312" w:eastAsia="楷体_GB2312" w:cs="楷体_GB2312"/>
          <w:snapToGrid w:val="0"/>
          <w:color w:val="000000"/>
          <w:kern w:val="0"/>
          <w:sz w:val="32"/>
          <w:szCs w:val="32"/>
          <w:highlight w:val="none"/>
          <w:lang w:val="en-US" w:eastAsia="zh-Hans" w:bidi="ar-SA"/>
        </w:rPr>
      </w:pPr>
      <w:r>
        <w:rPr>
          <w:rFonts w:hint="eastAsia" w:ascii="楷体_GB2312" w:hAnsi="楷体_GB2312" w:eastAsia="楷体_GB2312" w:cs="楷体_GB2312"/>
          <w:snapToGrid w:val="0"/>
          <w:color w:val="000000"/>
          <w:kern w:val="0"/>
          <w:sz w:val="32"/>
          <w:szCs w:val="32"/>
          <w:highlight w:val="none"/>
          <w:lang w:val="en-US" w:eastAsia="zh-Hans" w:bidi="ar-SA"/>
        </w:rPr>
        <w:t>加强培训宣传，做好信息报送</w:t>
      </w:r>
    </w:p>
    <w:p>
      <w:pPr>
        <w:pStyle w:val="13"/>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snapToGrid w:val="0"/>
          <w:color w:val="000000"/>
          <w:kern w:val="0"/>
          <w:sz w:val="32"/>
          <w:szCs w:val="32"/>
          <w:highlight w:val="none"/>
          <w:lang w:val="en-US" w:eastAsia="zh-CN" w:bidi="ar-SA"/>
        </w:rPr>
        <w:t>各单位要充分利用官微、官网等新媒介宣传手段，以及新闻发布会、领馆通报会等形式，大力开展集中宣传、政策解读，通报上海知识产权保护工作状况，发布有影响力的典型案例，</w:t>
      </w:r>
      <w:r>
        <w:rPr>
          <w:rFonts w:hint="eastAsia" w:ascii="仿宋_GB2312" w:hAnsi="Times New Roman" w:eastAsia="仿宋_GB2312" w:cs="Times New Roman"/>
          <w:snapToGrid w:val="0"/>
          <w:color w:val="000000"/>
          <w:kern w:val="0"/>
          <w:sz w:val="32"/>
          <w:szCs w:val="32"/>
          <w:highlight w:val="none"/>
          <w:lang w:val="en-US" w:eastAsia="zh-Hans" w:bidi="ar-SA"/>
        </w:rPr>
        <w:t>厚植保护知识产权就是保护创新的良好氛围。</w:t>
      </w:r>
      <w:r>
        <w:rPr>
          <w:rFonts w:hint="eastAsia" w:ascii="仿宋_GB2312" w:hAnsi="Times New Roman" w:eastAsia="仿宋_GB2312" w:cs="Times New Roman"/>
          <w:snapToGrid w:val="0"/>
          <w:color w:val="000000"/>
          <w:kern w:val="0"/>
          <w:sz w:val="32"/>
          <w:szCs w:val="32"/>
          <w:highlight w:val="none"/>
          <w:lang w:val="en-US" w:eastAsia="zh-CN" w:bidi="ar-SA"/>
        </w:rPr>
        <w:t>组织开展多种形式的专题</w:t>
      </w:r>
      <w:r>
        <w:rPr>
          <w:rFonts w:hint="eastAsia" w:ascii="仿宋_GB2312" w:hAnsi="Times New Roman" w:eastAsia="仿宋_GB2312" w:cs="Times New Roman"/>
          <w:snapToGrid w:val="0"/>
          <w:color w:val="000000"/>
          <w:kern w:val="0"/>
          <w:sz w:val="32"/>
          <w:szCs w:val="32"/>
          <w:highlight w:val="none"/>
          <w:lang w:val="en-US" w:eastAsia="zh-Hans" w:bidi="ar-SA"/>
        </w:rPr>
        <w:t>培训，创新线上线下业务培训、案例研</w:t>
      </w:r>
      <w:r>
        <w:rPr>
          <w:rFonts w:hint="eastAsia" w:ascii="仿宋_GB2312" w:hAnsi="Times New Roman" w:eastAsia="仿宋_GB2312" w:cs="Times New Roman"/>
          <w:snapToGrid w:val="0"/>
          <w:color w:val="000000"/>
          <w:kern w:val="0"/>
          <w:sz w:val="32"/>
          <w:szCs w:val="32"/>
          <w:highlight w:val="none"/>
          <w:lang w:val="en-US" w:eastAsia="zh-CN" w:bidi="ar-SA"/>
        </w:rPr>
        <w:t>讨、宣讲交流等方式，提升行政保护人员能力水</w:t>
      </w:r>
      <w:r>
        <w:rPr>
          <w:rFonts w:hint="eastAsia" w:ascii="仿宋_GB2312" w:hAnsi="Times New Roman" w:eastAsia="仿宋_GB2312" w:cs="Times New Roman"/>
          <w:snapToGrid w:val="0"/>
          <w:color w:val="000000"/>
          <w:kern w:val="0"/>
          <w:sz w:val="32"/>
          <w:szCs w:val="32"/>
          <w:highlight w:val="none"/>
          <w:lang w:val="en-US" w:eastAsia="zh-Hans" w:bidi="ar-SA"/>
        </w:rPr>
        <w:t>平。</w:t>
      </w:r>
      <w:r>
        <w:rPr>
          <w:rFonts w:hint="eastAsia" w:ascii="仿宋_GB2312" w:hAnsi="Times New Roman" w:eastAsia="仿宋_GB2312" w:cs="Times New Roman"/>
          <w:snapToGrid w:val="0"/>
          <w:color w:val="000000"/>
          <w:kern w:val="0"/>
          <w:sz w:val="32"/>
          <w:szCs w:val="32"/>
          <w:highlight w:val="none"/>
          <w:lang w:val="en-US" w:eastAsia="zh-CN" w:bidi="ar-SA"/>
        </w:rPr>
        <w:t>定期向市知识产权局报送本地区行政保护工作情况，总结工作经验和成果。提高舆情监测、舆论引导和舆情应对能力，及时通报重大舆情。</w:t>
      </w: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1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adjustRightInd w:val="0"/>
        <w:snapToGrid w:val="0"/>
        <w:spacing w:before="130" w:line="288" w:lineRule="auto"/>
        <w:rPr>
          <w:rFonts w:ascii="仿宋_GB2312" w:hAnsi="Times New Roman" w:eastAsia="仿宋_GB2312"/>
          <w:sz w:val="32"/>
          <w:szCs w:val="30"/>
        </w:rPr>
      </w:pPr>
    </w:p>
    <w:p>
      <w:pPr>
        <w:suppressAutoHyphens/>
        <w:adjustRightInd w:val="0"/>
        <w:snapToGrid w:val="0"/>
        <w:spacing w:line="336" w:lineRule="auto"/>
        <w:ind w:firstLine="284"/>
        <w:rPr>
          <w:rFonts w:hint="eastAsia" w:ascii="仿宋_GB2312" w:hAnsi="宋体" w:eastAsia="仿宋_GB2312"/>
          <w:sz w:val="28"/>
          <w:szCs w:val="28"/>
          <w:lang w:eastAsia="zh-CN"/>
        </w:rPr>
      </w:pPr>
      <w:r>
        <w:rPr>
          <w:rFonts w:ascii="仿宋_GB2312" w:hAnsi="Times New Roman" w:eastAsia="仿宋_GB2312"/>
          <w:sz w:val="28"/>
          <w:szCs w:val="28"/>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-46990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7pt;height:0pt;width:442.2pt;z-index:251687936;mso-width-relative:page;mso-height-relative:page;" filled="f" stroked="t" coordsize="21600,21600" o:gfxdata="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Py9uf9UAAAAGAQAADwAAAAAAAAABACAAAAA4AAAAZHJzL2Rvd25yZXYueG1sUEsBAhQAFAAA&#10;AAgAh07iQDQnwmvcAQAAmgMAAA4AAAAAAAAAAQAgAAAAOgEAAGRycy9lMm9Eb2MueG1sUEsFBgAA&#10;AAAGAAYAWQEAAIgFAAAAAA==&#10;">
                <v:fill on="f" focussize="0,0"/>
                <v:stroke weight="1pt" color="#000000" joinstyle="round"/>
                <v:imagedata o:title=""/>
                <o:lock v:ext="edit" aspectratio="f"/>
              </v:line>
            </w:pict>
          </mc:Fallback>
        </mc:AlternateContent>
      </w:r>
      <w:r>
        <w:rPr>
          <w:rFonts w:hint="eastAsia" w:ascii="仿宋_GB2312" w:hAnsi="Times New Roman" w:eastAsia="仿宋_GB2312"/>
          <w:sz w:val="28"/>
          <w:szCs w:val="28"/>
        </w:rPr>
        <w:t>抄送：</w:t>
      </w:r>
      <w:r>
        <w:rPr>
          <w:rFonts w:hint="default" w:ascii="仿宋_GB2312" w:hAnsi="宋体" w:eastAsia="仿宋_GB2312"/>
          <w:sz w:val="28"/>
          <w:szCs w:val="28"/>
          <w:lang w:val="en-US"/>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260350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0.5pt;height:0pt;width:442.2pt;z-index:251689984;mso-width-relative:page;mso-height-relative:page;" filled="f" stroked="t" coordsize="21600,21600" o:gfxdata="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NLftVDTAAAABgEAAA8AAAAAAAAAAQAgAAAAOAAAAGRycy9kb3ducmV2LnhtbFBLAQIUABQAAAAI&#10;AIdO4kBC2Kic3AEAAJkDAAAOAAAAAAAAAAEAIAAAADgBAABkcnMvZTJvRG9jLnhtbFBLBQYAAAAA&#10;BgAGAFkBAACGBQAAAAA=&#10;">
                <v:fill on="f" focussize="0,0"/>
                <v:stroke weight="0.5pt" color="#000000" joinstyle="round"/>
                <v:imagedata o:title=""/>
                <o:lock v:ext="edit" aspectratio="f"/>
              </v:line>
            </w:pict>
          </mc:Fallback>
        </mc:AlternateContent>
      </w:r>
      <w:r>
        <w:rPr>
          <w:rFonts w:hint="eastAsia" w:ascii="仿宋_GB2312" w:hAnsi="宋体" w:eastAsia="仿宋_GB2312"/>
          <w:sz w:val="28"/>
          <w:szCs w:val="28"/>
          <w:lang w:val="en-US" w:eastAsia="zh-CN"/>
        </w:rPr>
        <w:t>国家知识产权局</w:t>
      </w:r>
      <w:r>
        <w:rPr>
          <w:rFonts w:hint="eastAsia" w:ascii="仿宋_GB2312" w:hAnsi="宋体" w:eastAsia="仿宋_GB2312"/>
          <w:sz w:val="28"/>
          <w:szCs w:val="28"/>
          <w:lang w:eastAsia="zh-CN"/>
        </w:rPr>
        <w:t>。</w:t>
      </w:r>
    </w:p>
    <w:p>
      <w:pPr>
        <w:suppressAutoHyphens/>
        <w:adjustRightInd w:val="0"/>
        <w:snapToGrid w:val="0"/>
        <w:spacing w:line="336" w:lineRule="auto"/>
        <w:ind w:firstLine="284"/>
        <w:rPr>
          <w:rFonts w:hint="eastAsia" w:ascii="仿宋_GB2312" w:hAnsi="宋体" w:eastAsia="仿宋_GB2312"/>
          <w:sz w:val="30"/>
          <w:szCs w:val="30"/>
        </w:rPr>
      </w:pPr>
      <w:r>
        <w:rPr>
          <w:rFonts w:ascii="仿宋_GB2312" w:hAnsi="Times New Roman" w:eastAsia="仿宋_GB2312"/>
          <w:sz w:val="28"/>
          <w:szCs w:val="28"/>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253365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19.95pt;height:0pt;width:442.2pt;z-index:251688960;mso-width-relative:page;mso-height-relative:page;" filled="f" stroked="t" coordsize="21600,21600" o:gfxdata="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cDXHl1gAAAAYBAAAPAAAAAAAAAAEAIAAAADgAAABkcnMvZG93bnJldi54bWxQSwECFAAU&#10;AAAACACHTuJAj2/Yjd0BAACaAwAADgAAAAAAAAABACAAAAA7AQAAZHJzL2Uyb0RvYy54bWxQSwUG&#10;AAAAAAYABgBZAQAAigUAAAAA&#10;">
                <v:fill on="f" focussize="0,0"/>
                <v:stroke weight="1pt" color="#000000" joinstyle="round"/>
                <v:imagedata o:title=""/>
                <o:lock v:ext="edit" aspectratio="f"/>
              </v:line>
            </w:pict>
          </mc:Fallback>
        </mc:AlternateContent>
      </w:r>
      <w:r>
        <w:rPr>
          <w:rFonts w:hint="eastAsia" w:ascii="仿宋_GB2312" w:hAnsi="宋体" w:eastAsia="仿宋_GB2312"/>
          <w:sz w:val="28"/>
          <w:szCs w:val="28"/>
        </w:rPr>
        <w:t>上海市知识产权局办公室</w:t>
      </w:r>
      <w:r>
        <w:rPr>
          <w:rFonts w:hint="eastAsia" w:ascii="仿宋_GB2312" w:hAnsi="宋体" w:eastAsia="仿宋_GB2312"/>
          <w:spacing w:val="-2"/>
          <w:sz w:val="28"/>
          <w:szCs w:val="28"/>
        </w:rPr>
        <w:t xml:space="preserve">    </w:t>
      </w:r>
      <w:r>
        <w:rPr>
          <w:rFonts w:hint="eastAsia" w:ascii="仿宋_GB2312" w:hAnsi="宋体" w:eastAsia="仿宋_GB2312"/>
          <w:spacing w:val="-3"/>
          <w:sz w:val="28"/>
          <w:szCs w:val="28"/>
        </w:rPr>
        <w:t xml:space="preserve">    </w:t>
      </w:r>
      <w:r>
        <w:rPr>
          <w:rFonts w:hint="eastAsia" w:ascii="仿宋_GB2312" w:hAnsi="宋体" w:eastAsia="仿宋_GB2312"/>
          <w:spacing w:val="-3"/>
          <w:sz w:val="28"/>
          <w:szCs w:val="28"/>
          <w:lang w:val="en-US" w:eastAsia="zh-CN"/>
        </w:rPr>
        <w:t xml:space="preserve">  </w:t>
      </w:r>
      <w:r>
        <w:rPr>
          <w:rFonts w:hint="eastAsia" w:ascii="仿宋_GB2312" w:hAnsi="宋体" w:eastAsia="仿宋_GB2312"/>
          <w:spacing w:val="-3"/>
          <w:sz w:val="28"/>
          <w:szCs w:val="28"/>
        </w:rPr>
        <w:t xml:space="preserve">         </w:t>
      </w:r>
      <w:r>
        <w:rPr>
          <w:rFonts w:hint="eastAsia" w:ascii="仿宋_GB2312" w:hAnsi="宋体" w:eastAsia="仿宋_GB2312"/>
          <w:sz w:val="28"/>
          <w:szCs w:val="28"/>
        </w:rPr>
        <w:t>202</w:t>
      </w:r>
      <w:r>
        <w:rPr>
          <w:rFonts w:hint="eastAsia" w:ascii="仿宋_GB2312" w:hAnsi="宋体" w:eastAsia="仿宋_GB2312"/>
          <w:sz w:val="28"/>
          <w:szCs w:val="28"/>
          <w:lang w:val="en-US" w:eastAsia="zh-CN"/>
        </w:rPr>
        <w:t>3</w:t>
      </w:r>
      <w:r>
        <w:rPr>
          <w:rFonts w:hint="eastAsia" w:ascii="仿宋_GB2312" w:hAnsi="宋体" w:eastAsia="仿宋_GB2312"/>
          <w:sz w:val="28"/>
          <w:szCs w:val="28"/>
        </w:rPr>
        <w:t>年</w:t>
      </w:r>
      <w:r>
        <w:rPr>
          <w:rFonts w:hint="eastAsia" w:ascii="仿宋_GB2312" w:hAnsi="宋体" w:eastAsia="仿宋_GB2312"/>
          <w:sz w:val="28"/>
          <w:szCs w:val="28"/>
          <w:lang w:val="en-US" w:eastAsia="zh-CN"/>
        </w:rPr>
        <w:t>3</w:t>
      </w:r>
      <w:r>
        <w:rPr>
          <w:rFonts w:hint="eastAsia" w:ascii="仿宋_GB2312" w:hAnsi="宋体" w:eastAsia="仿宋_GB2312"/>
          <w:sz w:val="28"/>
          <w:szCs w:val="28"/>
        </w:rPr>
        <w:t>月1</w:t>
      </w:r>
      <w:r>
        <w:rPr>
          <w:rFonts w:hint="eastAsia" w:ascii="仿宋_GB2312" w:hAnsi="宋体" w:eastAsia="仿宋_GB2312"/>
          <w:sz w:val="28"/>
          <w:szCs w:val="28"/>
          <w:lang w:val="en-US" w:eastAsia="zh-CN"/>
        </w:rPr>
        <w:t>5</w:t>
      </w:r>
      <w:r>
        <w:rPr>
          <w:rFonts w:hint="eastAsia" w:ascii="仿宋_GB2312" w:hAnsi="宋体" w:eastAsia="仿宋_GB2312"/>
          <w:sz w:val="28"/>
          <w:szCs w:val="28"/>
        </w:rPr>
        <w:t>日印发</w:t>
      </w:r>
      <w:r>
        <w:rPr>
          <w:rFonts w:hint="eastAsia" w:ascii="仿宋_GB2312" w:hAnsi="Times New Roman" w:eastAsia="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1pt;margin-top:552pt;height:0pt;width:433.5pt;z-index:25168691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5A4Ul1AAAAAwBAAAPAAAAAAAAAAEAIAAAADgAAABkcnMvZG93bnJldi54bWxQSwECFAAUAAAA&#10;CACHTuJAuPVfo9wBAACZAwAADgAAAAAAAAABACAAAAA5AQAAZHJzL2Uyb0RvYy54bWxQSwUGAAAA&#10;AAYABgBZAQAAhwUAAAAA&#10;">
                <v:fill on="f" focussize="0,0"/>
                <v:stroke color="#000000" joinstyle="round"/>
                <v:imagedata o:title=""/>
                <o:lock v:ext="edit" aspectratio="f"/>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1pt;margin-top:552pt;height:0pt;width:0.05pt;z-index:25168588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4z/w&#10;XNQAAAALAQAADwAAAAAAAAABACAAAAA4AAAAZHJzL2Rvd25yZXYueG1sUEsBAhQAFAAAAAgAh07i&#10;QG78CGHXAQAAlQMAAA4AAAAAAAAAAQAgAAAAOQEAAGRycy9lMm9Eb2MueG1sUEsFBgAAAAAGAAYA&#10;WQEAAIIFAAAAAA==&#10;">
                <v:fill on="f" focussize="0,0"/>
                <v:stroke color="#000000" joinstyle="round"/>
                <v:imagedata o:title=""/>
                <o:lock v:ext="edit" aspectratio="f"/>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1pt;margin-top:552pt;height:0pt;width:433.5pt;z-index:25168486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5A4Ul1AAAAAwBAAAPAAAAAAAAAAEAIAAAADgAAABkcnMvZG93bnJldi54bWxQSwECFAAUAAAA&#10;CACHTuJA909L2twBAACZAwAADgAAAAAAAAABACAAAAA5AQAAZHJzL2Uyb0RvYy54bWxQSwUGAAAA&#10;AAYABgBZAQAAhwUAAAAA&#10;">
                <v:fill on="f" focussize="0,0"/>
                <v:stroke color="#000000" joinstyle="round"/>
                <v:imagedata o:title=""/>
                <o:lock v:ext="edit" aspectratio="f"/>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1pt;margin-top:552pt;height:0pt;width:0.05pt;z-index:25168384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M/&#10;8FzUAAAACwEAAA8AAAAAAAAAAQAgAAAAOAAAAGRycy9kb3ducmV2LnhtbFBLAQIUABQAAAAIAIdO&#10;4kAFDmbJ2AEAAJUDAAAOAAAAAAAAAAEAIAAAADkBAABkcnMvZTJvRG9jLnhtbFBLBQYAAAAABgAG&#10;AFkBAACDBQAAAAA=&#10;">
                <v:fill on="f" focussize="0,0"/>
                <v:stroke color="#000000" joinstyle="round"/>
                <v:imagedata o:title=""/>
                <o:lock v:ext="edit" aspectratio="f"/>
              </v:line>
            </w:pict>
          </mc:Fallback>
        </mc:AlternateContent>
      </w:r>
    </w:p>
    <w:p>
      <w:pPr>
        <w:suppressAutoHyphens/>
        <w:adjustRightInd w:val="0"/>
        <w:snapToGrid w:val="0"/>
        <w:spacing w:line="336" w:lineRule="auto"/>
        <w:rPr>
          <w:rFonts w:hint="default"/>
          <w:lang w:val="en-US"/>
        </w:rPr>
      </w:pPr>
      <w:r>
        <w:rPr>
          <w:rFonts w:hint="eastAsia" w:ascii="仿宋_GB2312" w:hAnsi="Times New Roman" w:eastAsia="仿宋_GB2312" w:cs="Times New Roman"/>
          <w:sz w:val="30"/>
          <w:szCs w:val="30"/>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8" o:spid="_x0000_s1026" o:spt="20" style="position:absolute;left:0pt;margin-left:5.1pt;margin-top:552pt;height:0pt;width:433.5pt;z-index:25168281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A4Ul1AAA&#10;AAwBAAAPAAAAAAAAAAEAIAAAADgAAABkcnMvZG93bnJldi54bWxQSwECFAAUAAAACACHTuJAtztI&#10;CdMBAACTAwAADgAAAAAAAAABACAAAAA5AQAAZHJzL2Uyb0RvYy54bWxQSwUGAAAAAAYABgBZAQAA&#10;f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9" o:spid="_x0000_s1026" o:spt="20" style="position:absolute;left:0pt;margin-left:5.1pt;margin-top:552pt;height:0pt;width:0.05pt;z-index:25168179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M/8FzUAAAACwEA&#10;AA8AAAAAAAAAAQAgAAAAOAAAAGRycy9kb3ducmV2LnhtbFBLAQIUABQAAAAIAIdO4kA7yOM1zwEA&#10;AI8DAAAOAAAAAAAAAAEAIAAAADkBAABkcnMvZTJvRG9jLnhtbFBLBQYAAAAABgAGAFkBAAB6BQAA&#10;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0" o:spid="_x0000_s1026" o:spt="20" style="position:absolute;left:0pt;margin-left:5.1pt;margin-top:552pt;height:0pt;width:433.5pt;z-index:25168076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kDhSXUAAAADAEA&#10;AA8AAAAAAAAAAQAgAAAAOAAAAGRycy9kb3ducmV2LnhtbFBLAQIUABQAAAAIAIdO4kC7MaNSzwEA&#10;AJMDAAAOAAAAAAAAAAEAIAAAADkBAABkcnMvZTJvRG9jLnhtbFBLBQYAAAAABgAGAFkBAAB6BQAA&#10;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1" o:spid="_x0000_s1026" o:spt="20" style="position:absolute;left:0pt;margin-left:5.1pt;margin-top:552pt;height:0pt;width:0.05pt;z-index:25167974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AwcMsbOAQAA&#10;jwMAAA4AAAAAAAAAAQAgAAAAOQEAAGRycy9lMm9Eb2MueG1sUEsFBgAAAAAGAAYAWQEAAHkFAAAA&#10;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2" o:spid="_x0000_s1026" o:spt="20" style="position:absolute;left:0pt;margin-left:5.1pt;margin-top:552pt;height:0pt;width:433.5pt;z-index:25167462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A4Ul1AAA&#10;AAwBAAAPAAAAAAAAAAEAIAAAADgAAABkcnMvZG93bnJldi54bWxQSwECFAAUAAAACACHTuJAEHLx&#10;HtMBAACTAwAADgAAAAAAAAABACAAAAA5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3" o:spid="_x0000_s1026" o:spt="20" style="position:absolute;left:0pt;margin-left:5.1pt;margin-top:552pt;height:0pt;width:0.05pt;z-index:25167360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IZHr9fOAQAA&#10;jwMAAA4AAAAAAAAAAQAgAAAAOQEAAGRycy9lMm9Eb2MueG1sUEsFBgAAAAAGAAYAWQEAAHkFAAAA&#10;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4" o:spid="_x0000_s1026" o:spt="20" style="position:absolute;left:0pt;margin-left:5.1pt;margin-top:552pt;height:0pt;width:433.5pt;z-index:25167872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A4Ul1AAA&#10;AAwBAAAPAAAAAAAAAAEAIAAAADgAAABkcnMvZG93bnJldi54bWxQSwECFAAUAAAACACHTuJA6Rni&#10;vNMBAACTAwAADgAAAAAAAAABACAAAAA5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5" o:spid="_x0000_s1026" o:spt="20" style="position:absolute;left:0pt;margin-left:5.1pt;margin-top:552pt;height:0pt;width:0.05pt;z-index:25167769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F6OL1vOAQAA&#10;jwMAAA4AAAAAAAAAAQAgAAAAOQEAAGRycy9lMm9Eb2MueG1sUEsFBgAAAAAGAAYAWQEAAHkFAAAA&#10;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6" o:spid="_x0000_s1026" o:spt="20" style="position:absolute;left:0pt;margin-left:5.1pt;margin-top:552pt;height:0pt;width:433.5pt;z-index:25167667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A4Ul1AAA&#10;AAwBAAAPAAAAAAAAAAEAIAAAADgAAABkcnMvZG93bnJldi54bWxQSwECFAAUAAAACACHTuJA1SPS&#10;VtMBAACTAwAADgAAAAAAAAABACAAAAA5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7" o:spid="_x0000_s1026" o:spt="20" style="position:absolute;left:0pt;margin-left:5.1pt;margin-top:552pt;height:0pt;width:0.05pt;z-index:25167564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HDsutvOAQAA&#10;jwMAAA4AAAAAAAAAAQAgAAAAOQEAAGRycy9lMm9Eb2MueG1sUEsFBgAAAAAGAAYAWQEAAHkFAAAA&#10;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8" o:spid="_x0000_s1026" o:spt="20" style="position:absolute;left:0pt;margin-left:5.1pt;margin-top:552pt;height:0pt;width:0.05pt;z-index:25167257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M/8FzUAAAACwEA&#10;AA8AAAAAAAAAAQAgAAAAOAAAAGRycy9kb3ducmV2LnhtbFBLAQIUABQAAAAIAIdO4kBatjr2zwEA&#10;AI8DAAAOAAAAAAAAAAEAIAAAADkBAABkcnMvZTJvRG9jLnhtbFBLBQYAAAAABgAGAFkBAAB6BQAA&#10;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9" o:spid="_x0000_s1026" o:spt="20" style="position:absolute;left:0pt;margin-left:5.1pt;margin-top:552pt;height:0pt;width:433.5pt;z-index:25167155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kDhSXUAAAA&#10;DAEAAA8AAAAAAAAAAQAgAAAAOAAAAGRycy9kb3ducmV2LnhtbFBLAQIUABQAAAAIAIdO4kDXAyqG&#10;0gEAAJMDAAAOAAAAAAAAAAEAIAAAADk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0" o:spid="_x0000_s1026" o:spt="20" style="position:absolute;left:0pt;margin-left:5.1pt;margin-top:552pt;height:0pt;width:0.05pt;z-index:25167052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OM/8FzUAAAACwEAAA8A&#10;AAAAAAAAAQAgAAAAOAAAAGRycy9kb3ducmV2LnhtbFBLAQIUABQAAAAIAIdO4kCR4Jk/zAEAAI8D&#10;AAAOAAAAAAAAAAEAIAAAADkBAABkcnMvZTJvRG9jLnhtbFBLBQYAAAAABgAGAFkBAAB3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1" o:spid="_x0000_s1026" o:spt="20" style="position:absolute;left:0pt;margin-left:5.1pt;margin-top:552pt;height:0pt;width:433.5pt;z-index:25166540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5A4Ul1AAAAAwB&#10;AAAPAAAAAAAAAAEAIAAAADgAAABkcnMvZG93bnJldi54bWxQSwECFAAUAAAACACHTuJAex8UMdAB&#10;AACTAwAADgAAAAAAAAABACAAAAA5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2" o:spid="_x0000_s1026" o:spt="20" style="position:absolute;left:0pt;margin-left:5.1pt;margin-top:552pt;height:0pt;width:0.05pt;z-index:25166438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M/8FzUAAAACwEA&#10;AA8AAAAAAAAAAQAgAAAAOAAAAGRycy9kb3ducmV2LnhtbFBLAQIUABQAAAAIAIdO4kBKoSDIzwEA&#10;AI8DAAAOAAAAAAAAAAEAIAAAADk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3" o:spid="_x0000_s1026" o:spt="20" style="position:absolute;left:0pt;margin-left:5.1pt;margin-top:552pt;height:0pt;width:433.5pt;z-index:25166950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5A4Ul1AAA&#10;AAwBAAAPAAAAAAAAAAEAIAAAADgAAABkcnMvZG93bnJldi54bWxQSwECFAAUAAAACACHTuJAu82l&#10;I9MBAACTAwAADgAAAAAAAAABACAAAAA5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4" o:spid="_x0000_s1026" o:spt="20" style="position:absolute;left:0pt;margin-left:5.1pt;margin-top:552pt;height:0pt;width:0.05pt;z-index:25166848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OM/8FzUAAAACwEA&#10;AA8AAAAAAAAAAQAgAAAAOAAAAGRycy9kb3ducmV2LnhtbFBLAQIUABQAAAAIAIdO4kDDcoSizwEA&#10;AI8DAAAOAAAAAAAAAAEAIAAAADk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5" o:spid="_x0000_s1026" o:spt="20" style="position:absolute;left:0pt;margin-left:5.1pt;margin-top:552pt;height:0pt;width:433.5pt;z-index:25166745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uQOFJdQAAAAM&#10;AQAADwAAAAAAAAABACAAAAA4AAAAZHJzL2Rvd25yZXYueG1sUEsBAhQAFAAAAAgAh07iQL6FhMbR&#10;AQAAkwMAAA4AAAAAAAAAAQAgAAAAOQ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6" o:spid="_x0000_s1026" o:spt="20" style="position:absolute;left:0pt;margin-left:5.1pt;margin-top:552pt;height:0pt;width:0.05pt;z-index:25166643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O0QESLOAQAA&#10;jwMAAA4AAAAAAAAAAQAgAAAAOQEAAGRycy9lMm9Eb2MueG1sUEsFBgAAAAAGAAYAWQEAAHkFAAAA&#10;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7" o:spid="_x0000_s1026" o:spt="20" style="position:absolute;left:0pt;margin-left:5.1pt;margin-top:552pt;height:0pt;width:0.05pt;z-index:25166336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N5yvdzOAQAA&#10;jwMAAA4AAAAAAAAAAQAgAAAAOQEAAGRycy9lMm9Eb2MueG1sUEsFBgAAAAAGAAYAWQEAAHkFAAAA&#10;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8" o:spid="_x0000_s1026" o:spt="20" style="position:absolute;left:0pt;margin-left:5.1pt;margin-top:552pt;height:0pt;width:433.5pt;z-index:25166233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kDhSXUAAAA&#10;DAEAAA8AAAAAAAAAAQAgAAAAOAAAAGRycy9kb3ducmV2LnhtbFBLAQIUABQAAAAIAIdO4kAKd80m&#10;0gEAAJMDAAAOAAAAAAAAAAEAIAAAADk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9"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4z/wXNQAAAALAQAA&#10;DwAAAAAAAAABACAAAAA4AAAAZHJzL2Rvd25yZXYueG1sUEsBAhQAFAAAAAgAh07iQJZQtenOAQAA&#10;jwMAAA4AAAAAAAAAAQAgAAAAOQEAAGRycy9lMm9Eb2MueG1sUEsFBgAAAAAGAAYAWQEAAHkFAAAA&#10;AA==&#10;">
                <v:fill on="f" focussize="0,0"/>
                <v:stroke color="#000000" joinstyle="round"/>
                <v:imagedata o:title=""/>
                <o:lock v:ext="edit" aspectratio="f"/>
              </v:line>
            </w:pict>
          </mc:Fallback>
        </mc:AlternateContent>
      </w:r>
    </w:p>
    <w:sectPr>
      <w:footerReference r:id="rId3" w:type="default"/>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30505"/>
              <wp:effectExtent l="0" t="0" r="0" b="0"/>
              <wp:wrapNone/>
              <wp:docPr id="80" name="文本框 1"/>
              <wp:cNvGraphicFramePr/>
              <a:graphic xmlns:a="http://schemas.openxmlformats.org/drawingml/2006/main">
                <a:graphicData uri="http://schemas.microsoft.com/office/word/2010/wordprocessingShape">
                  <wps:wsp>
                    <wps:cNvSpPr txBox="true"/>
                    <wps:spPr>
                      <a:xfrm>
                        <a:off x="0" y="0"/>
                        <a:ext cx="89535" cy="230505"/>
                      </a:xfrm>
                      <a:prstGeom prst="rect">
                        <a:avLst/>
                      </a:prstGeom>
                      <a:noFill/>
                      <a:ln>
                        <a:noFill/>
                      </a:ln>
                    </wps:spPr>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8.15pt;width:7.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26pew0QAAAAMBAAAPAAAA&#10;AAAAAAEAIAAAADgAAABkcnMvZG93bnJldi54bWxQSwECFAAUAAAACACHTuJA68Pdks0BAAB5AwAA&#10;DgAAAAAAAAABACAAAAA2AQAAZHJzL2Uyb0RvYy54bWxQSwUGAAAAAAYABgBZAQAAdQUAAAAA&#10;">
              <v:fill on="f" focussize="0,0"/>
              <v:stroke on="f"/>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0BA2A"/>
    <w:multiLevelType w:val="singleLevel"/>
    <w:tmpl w:val="4440BA2A"/>
    <w:lvl w:ilvl="0" w:tentative="0">
      <w:start w:val="2"/>
      <w:numFmt w:val="chineseCounting"/>
      <w:suff w:val="nothing"/>
      <w:lvlText w:val="（%1）"/>
      <w:lvlJc w:val="left"/>
      <w:rPr>
        <w:rFonts w:hint="eastAsia"/>
      </w:rPr>
    </w:lvl>
  </w:abstractNum>
  <w:abstractNum w:abstractNumId="1">
    <w:nsid w:val="620D0723"/>
    <w:multiLevelType w:val="singleLevel"/>
    <w:tmpl w:val="620D0723"/>
    <w:lvl w:ilvl="0" w:tentative="0">
      <w:start w:val="2"/>
      <w:numFmt w:val="chineseCounting"/>
      <w:suff w:val="nothing"/>
      <w:lvlText w:val="%1、"/>
      <w:lvlJc w:val="left"/>
    </w:lvl>
  </w:abstractNum>
  <w:abstractNum w:abstractNumId="2">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8B66946"/>
    <w:rsid w:val="092170B6"/>
    <w:rsid w:val="098733EF"/>
    <w:rsid w:val="0AB063A2"/>
    <w:rsid w:val="0CF91997"/>
    <w:rsid w:val="0D907525"/>
    <w:rsid w:val="0E0371A7"/>
    <w:rsid w:val="0E682AF0"/>
    <w:rsid w:val="0EFD8BBA"/>
    <w:rsid w:val="0FFB3306"/>
    <w:rsid w:val="10BA7A24"/>
    <w:rsid w:val="10BD7457"/>
    <w:rsid w:val="13545058"/>
    <w:rsid w:val="13E27C72"/>
    <w:rsid w:val="14184A64"/>
    <w:rsid w:val="14531025"/>
    <w:rsid w:val="156B2653"/>
    <w:rsid w:val="15816581"/>
    <w:rsid w:val="15EF0DF2"/>
    <w:rsid w:val="171506C3"/>
    <w:rsid w:val="17B943BD"/>
    <w:rsid w:val="1868542C"/>
    <w:rsid w:val="188859EA"/>
    <w:rsid w:val="1B2B5C60"/>
    <w:rsid w:val="1B3B68AF"/>
    <w:rsid w:val="1C78557D"/>
    <w:rsid w:val="1CDD28FB"/>
    <w:rsid w:val="1CF72E07"/>
    <w:rsid w:val="1DF92FE3"/>
    <w:rsid w:val="1E3D1766"/>
    <w:rsid w:val="1E4A3FC0"/>
    <w:rsid w:val="1E4D3DE1"/>
    <w:rsid w:val="1FA125B4"/>
    <w:rsid w:val="1FFFBD72"/>
    <w:rsid w:val="20A769F3"/>
    <w:rsid w:val="219B6A98"/>
    <w:rsid w:val="21B81BA7"/>
    <w:rsid w:val="22E20C6B"/>
    <w:rsid w:val="22E83E3E"/>
    <w:rsid w:val="23A8387B"/>
    <w:rsid w:val="23DD1433"/>
    <w:rsid w:val="23F30C56"/>
    <w:rsid w:val="244D526E"/>
    <w:rsid w:val="24656867"/>
    <w:rsid w:val="24E5158C"/>
    <w:rsid w:val="253A3C68"/>
    <w:rsid w:val="25E940BF"/>
    <w:rsid w:val="26647AE6"/>
    <w:rsid w:val="26AC5039"/>
    <w:rsid w:val="26FE5A1A"/>
    <w:rsid w:val="27007945"/>
    <w:rsid w:val="27C9064C"/>
    <w:rsid w:val="2842236A"/>
    <w:rsid w:val="285068B1"/>
    <w:rsid w:val="28B64369"/>
    <w:rsid w:val="28B9393E"/>
    <w:rsid w:val="291C5607"/>
    <w:rsid w:val="29615966"/>
    <w:rsid w:val="29A45106"/>
    <w:rsid w:val="29F7A779"/>
    <w:rsid w:val="2AFC164B"/>
    <w:rsid w:val="2AFC661B"/>
    <w:rsid w:val="2B796F1A"/>
    <w:rsid w:val="2BDB5D50"/>
    <w:rsid w:val="2C6B1518"/>
    <w:rsid w:val="2CAD60D2"/>
    <w:rsid w:val="2CD024B3"/>
    <w:rsid w:val="2CF019FE"/>
    <w:rsid w:val="2D5504C7"/>
    <w:rsid w:val="2D5F7542"/>
    <w:rsid w:val="2D7F599C"/>
    <w:rsid w:val="2DA10C7F"/>
    <w:rsid w:val="2DDB5965"/>
    <w:rsid w:val="2DF24E38"/>
    <w:rsid w:val="2E8250B1"/>
    <w:rsid w:val="2F6F0224"/>
    <w:rsid w:val="2F715777"/>
    <w:rsid w:val="2FCB68CA"/>
    <w:rsid w:val="30247FC2"/>
    <w:rsid w:val="304419A2"/>
    <w:rsid w:val="310050E5"/>
    <w:rsid w:val="314E4C22"/>
    <w:rsid w:val="33016898"/>
    <w:rsid w:val="33347761"/>
    <w:rsid w:val="33644AD0"/>
    <w:rsid w:val="33761588"/>
    <w:rsid w:val="338D5BA0"/>
    <w:rsid w:val="33FD8E65"/>
    <w:rsid w:val="356A0A9D"/>
    <w:rsid w:val="35B45818"/>
    <w:rsid w:val="36026DB7"/>
    <w:rsid w:val="364B3B80"/>
    <w:rsid w:val="36EF3322"/>
    <w:rsid w:val="37113475"/>
    <w:rsid w:val="37411603"/>
    <w:rsid w:val="375B7EFB"/>
    <w:rsid w:val="37661A13"/>
    <w:rsid w:val="39452A3B"/>
    <w:rsid w:val="39500FF2"/>
    <w:rsid w:val="39CC58CC"/>
    <w:rsid w:val="3A1F161B"/>
    <w:rsid w:val="3B0D65FF"/>
    <w:rsid w:val="3C1C3DA9"/>
    <w:rsid w:val="3C5A692E"/>
    <w:rsid w:val="3CAA667B"/>
    <w:rsid w:val="3D7C48B3"/>
    <w:rsid w:val="3DE540D6"/>
    <w:rsid w:val="3EC7B855"/>
    <w:rsid w:val="3EFE9A27"/>
    <w:rsid w:val="3F5F3233"/>
    <w:rsid w:val="3F777680"/>
    <w:rsid w:val="3FF70A68"/>
    <w:rsid w:val="3FFFF0DC"/>
    <w:rsid w:val="40155D85"/>
    <w:rsid w:val="405065B1"/>
    <w:rsid w:val="41794BDC"/>
    <w:rsid w:val="425C09E8"/>
    <w:rsid w:val="428B1E08"/>
    <w:rsid w:val="4335456E"/>
    <w:rsid w:val="4475133E"/>
    <w:rsid w:val="45D67D64"/>
    <w:rsid w:val="45FC299F"/>
    <w:rsid w:val="46AB7443"/>
    <w:rsid w:val="473F1D82"/>
    <w:rsid w:val="475950F1"/>
    <w:rsid w:val="479C553C"/>
    <w:rsid w:val="48C748E0"/>
    <w:rsid w:val="48C8247E"/>
    <w:rsid w:val="48E45FD9"/>
    <w:rsid w:val="48FB5D34"/>
    <w:rsid w:val="494E3FEC"/>
    <w:rsid w:val="496B7042"/>
    <w:rsid w:val="4A0E7992"/>
    <w:rsid w:val="4A723B80"/>
    <w:rsid w:val="4BF076A6"/>
    <w:rsid w:val="4C33625D"/>
    <w:rsid w:val="4C5929E2"/>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714488F"/>
    <w:rsid w:val="5765719A"/>
    <w:rsid w:val="580449F9"/>
    <w:rsid w:val="586E124B"/>
    <w:rsid w:val="58832FA3"/>
    <w:rsid w:val="58CB5722"/>
    <w:rsid w:val="59767755"/>
    <w:rsid w:val="59B60181"/>
    <w:rsid w:val="5A1B53F9"/>
    <w:rsid w:val="5A65220A"/>
    <w:rsid w:val="5AC7141F"/>
    <w:rsid w:val="5BBD5DD9"/>
    <w:rsid w:val="5BCF6786"/>
    <w:rsid w:val="5C3655A3"/>
    <w:rsid w:val="5CE10CF4"/>
    <w:rsid w:val="5DAB29F0"/>
    <w:rsid w:val="5DEE31FE"/>
    <w:rsid w:val="5F166FCB"/>
    <w:rsid w:val="5F255F4A"/>
    <w:rsid w:val="5F4F0F3D"/>
    <w:rsid w:val="5F802EC3"/>
    <w:rsid w:val="5FB7F7A0"/>
    <w:rsid w:val="5FC513BA"/>
    <w:rsid w:val="5FE0232C"/>
    <w:rsid w:val="5FFFD193"/>
    <w:rsid w:val="61055107"/>
    <w:rsid w:val="61525CC9"/>
    <w:rsid w:val="61731265"/>
    <w:rsid w:val="61CF3A59"/>
    <w:rsid w:val="61ED0541"/>
    <w:rsid w:val="61F07FA8"/>
    <w:rsid w:val="620305A7"/>
    <w:rsid w:val="62443C03"/>
    <w:rsid w:val="62C1616E"/>
    <w:rsid w:val="63163A3E"/>
    <w:rsid w:val="641243A5"/>
    <w:rsid w:val="64BA36C3"/>
    <w:rsid w:val="652F150F"/>
    <w:rsid w:val="6537F234"/>
    <w:rsid w:val="65491530"/>
    <w:rsid w:val="655D686D"/>
    <w:rsid w:val="659A1F3E"/>
    <w:rsid w:val="667ED07F"/>
    <w:rsid w:val="66DF16CA"/>
    <w:rsid w:val="67FF0964"/>
    <w:rsid w:val="6898783E"/>
    <w:rsid w:val="68A5417C"/>
    <w:rsid w:val="68B37D2D"/>
    <w:rsid w:val="68F518D7"/>
    <w:rsid w:val="69A41627"/>
    <w:rsid w:val="69C55ADC"/>
    <w:rsid w:val="69FE3930"/>
    <w:rsid w:val="6B1106E0"/>
    <w:rsid w:val="6D431421"/>
    <w:rsid w:val="6DA24063"/>
    <w:rsid w:val="6DF7310E"/>
    <w:rsid w:val="6EBB5C6D"/>
    <w:rsid w:val="6ED578BB"/>
    <w:rsid w:val="6F9D07B6"/>
    <w:rsid w:val="6FDFE205"/>
    <w:rsid w:val="6FFD1D29"/>
    <w:rsid w:val="70877CA6"/>
    <w:rsid w:val="718030F6"/>
    <w:rsid w:val="72337A39"/>
    <w:rsid w:val="72700425"/>
    <w:rsid w:val="729C5994"/>
    <w:rsid w:val="741E5D02"/>
    <w:rsid w:val="74D92A96"/>
    <w:rsid w:val="74E86949"/>
    <w:rsid w:val="7580063C"/>
    <w:rsid w:val="75924EBD"/>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D26EE1"/>
    <w:rsid w:val="7C436B65"/>
    <w:rsid w:val="7CB13D9F"/>
    <w:rsid w:val="7CB6E07E"/>
    <w:rsid w:val="7CD676CF"/>
    <w:rsid w:val="7D634B12"/>
    <w:rsid w:val="7DE60785"/>
    <w:rsid w:val="7DFFE411"/>
    <w:rsid w:val="7E316423"/>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D3CF1"/>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2">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w:basedOn w:val="1"/>
    <w:qFormat/>
    <w:uiPriority w:val="0"/>
    <w:pPr>
      <w:spacing w:before="0" w:after="140" w:line="276" w:lineRule="auto"/>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qFormat/>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unhideWhenUsed/>
    <w:qFormat/>
    <w:uiPriority w:val="99"/>
  </w:style>
  <w:style w:type="paragraph" w:customStyle="1" w:styleId="13">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character" w:customStyle="1" w:styleId="14">
    <w:name w:val="默认段落字体1"/>
    <w:qFormat/>
    <w:uiPriority w:val="0"/>
  </w:style>
  <w:style w:type="paragraph" w:customStyle="1" w:styleId="15">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6">
    <w:name w:val="font31"/>
    <w:basedOn w:val="11"/>
    <w:qFormat/>
    <w:uiPriority w:val="0"/>
    <w:rPr>
      <w:rFonts w:hint="default" w:ascii="CESI仿宋-GB2312" w:hAnsi="CESI仿宋-GB2312" w:eastAsia="CESI仿宋-GB2312" w:cs="CESI仿宋-GB2312"/>
      <w:color w:val="000000"/>
      <w:sz w:val="24"/>
      <w:szCs w:val="24"/>
      <w:u w:val="none"/>
    </w:rPr>
  </w:style>
  <w:style w:type="character" w:customStyle="1" w:styleId="17">
    <w:name w:val="font101"/>
    <w:basedOn w:val="11"/>
    <w:qFormat/>
    <w:uiPriority w:val="0"/>
    <w:rPr>
      <w:rFonts w:hint="default" w:ascii="CESI仿宋-GB2312" w:hAnsi="CESI仿宋-GB2312" w:eastAsia="CESI仿宋-GB2312" w:cs="CESI仿宋-GB2312"/>
      <w:color w:val="000000"/>
      <w:sz w:val="24"/>
      <w:szCs w:val="24"/>
      <w:u w:val="none"/>
    </w:rPr>
  </w:style>
  <w:style w:type="character" w:customStyle="1" w:styleId="18">
    <w:name w:val="font61"/>
    <w:basedOn w:val="11"/>
    <w:qFormat/>
    <w:uiPriority w:val="0"/>
    <w:rPr>
      <w:rFonts w:hint="default" w:ascii="CESI仿宋-GB2312" w:hAnsi="CESI仿宋-GB2312" w:eastAsia="CESI仿宋-GB2312" w:cs="CESI仿宋-GB2312"/>
      <w:color w:val="333333"/>
      <w:sz w:val="24"/>
      <w:szCs w:val="24"/>
      <w:u w:val="none"/>
    </w:rPr>
  </w:style>
  <w:style w:type="character" w:customStyle="1" w:styleId="19">
    <w:name w:val="font01"/>
    <w:basedOn w:val="11"/>
    <w:qFormat/>
    <w:uiPriority w:val="0"/>
    <w:rPr>
      <w:rFonts w:ascii="方正书宋_GBK" w:hAnsi="方正书宋_GBK" w:eastAsia="方正书宋_GBK" w:cs="方正书宋_GBK"/>
      <w:color w:val="333333"/>
      <w:sz w:val="24"/>
      <w:szCs w:val="24"/>
      <w:u w:val="none"/>
    </w:rPr>
  </w:style>
  <w:style w:type="character" w:customStyle="1" w:styleId="20">
    <w:name w:val="font41"/>
    <w:basedOn w:val="11"/>
    <w:qFormat/>
    <w:uiPriority w:val="0"/>
    <w:rPr>
      <w:rFonts w:hint="default" w:ascii="CESI仿宋-GB2312" w:hAnsi="CESI仿宋-GB2312" w:eastAsia="CESI仿宋-GB2312" w:cs="CESI仿宋-GB2312"/>
      <w:color w:val="333333"/>
      <w:sz w:val="24"/>
      <w:szCs w:val="24"/>
      <w:u w:val="none"/>
    </w:rPr>
  </w:style>
  <w:style w:type="character" w:customStyle="1" w:styleId="21">
    <w:name w:val="font11"/>
    <w:basedOn w:val="11"/>
    <w:qFormat/>
    <w:uiPriority w:val="0"/>
    <w:rPr>
      <w:rFonts w:ascii="方正书宋_GBK" w:hAnsi="方正书宋_GBK" w:eastAsia="方正书宋_GBK" w:cs="方正书宋_GBK"/>
      <w:color w:val="333333"/>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5088</Words>
  <Characters>5193</Characters>
  <Lines>35</Lines>
  <Paragraphs>10</Paragraphs>
  <TotalTime>2</TotalTime>
  <ScaleCrop>false</ScaleCrop>
  <LinksUpToDate>false</LinksUpToDate>
  <CharactersWithSpaces>5236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2022-04-21T22:04:00Z</dcterms:created>
  <dc:creator>user</dc:creator>
  <cp:lastModifiedBy>预览</cp:lastModifiedBy>
  <cp:lastPrinted>2022-12-12T14:24:00Z</cp:lastPrinted>
  <dcterms:modified xsi:type="dcterms:W3CDTF">2023-03-21T16:43:12Z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EC6AF05BD5DC497591145404CC544A76</vt:lpwstr>
  </property>
</Properties>
</file>